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973D" w14:textId="77777777" w:rsidR="00DA67B1" w:rsidRPr="00957D1B" w:rsidRDefault="00DA67B1" w:rsidP="00957D1B">
      <w:pPr>
        <w:spacing w:before="240" w:line="360" w:lineRule="auto"/>
        <w:jc w:val="left"/>
        <w:rPr>
          <w:sz w:val="28"/>
          <w:szCs w:val="28"/>
          <w:lang w:val="en-GB"/>
        </w:rPr>
      </w:pPr>
      <w:r w:rsidRPr="00957D1B">
        <w:rPr>
          <w:rStyle w:val="Heading1Char"/>
          <w:szCs w:val="32"/>
          <w:lang w:val="en-GB"/>
        </w:rPr>
        <w:t>DOCUMENT TITLE:</w:t>
      </w:r>
      <w:r w:rsidRPr="00957D1B">
        <w:rPr>
          <w:sz w:val="28"/>
          <w:szCs w:val="28"/>
          <w:lang w:val="en-GB"/>
        </w:rPr>
        <w:t xml:space="preserve"> </w:t>
      </w:r>
    </w:p>
    <w:p w14:paraId="76BBDA92" w14:textId="1C74BF4C" w:rsidR="00CE1D11" w:rsidRPr="00957D1B" w:rsidRDefault="00F34E19" w:rsidP="00957D1B">
      <w:pPr>
        <w:spacing w:after="0" w:line="360" w:lineRule="auto"/>
        <w:jc w:val="center"/>
        <w:rPr>
          <w:rFonts w:asciiTheme="majorHAnsi" w:hAnsiTheme="majorHAnsi"/>
          <w:b/>
          <w:bCs/>
          <w:color w:val="auto"/>
          <w:sz w:val="32"/>
          <w:szCs w:val="32"/>
          <w:lang w:val="en-GB"/>
        </w:rPr>
      </w:pPr>
      <w:r w:rsidRPr="00957D1B">
        <w:rPr>
          <w:rFonts w:asciiTheme="majorHAnsi" w:hAnsiTheme="majorHAnsi"/>
          <w:b/>
          <w:bCs/>
          <w:color w:val="auto"/>
          <w:sz w:val="32"/>
          <w:szCs w:val="32"/>
          <w:lang w:val="en-GB"/>
        </w:rPr>
        <w:t>UNDP Amman</w:t>
      </w:r>
      <w:r w:rsidR="00CE1D11" w:rsidRPr="00957D1B">
        <w:rPr>
          <w:rFonts w:asciiTheme="majorHAnsi" w:hAnsiTheme="majorHAnsi"/>
          <w:b/>
          <w:bCs/>
          <w:color w:val="auto"/>
          <w:sz w:val="32"/>
          <w:szCs w:val="32"/>
          <w:lang w:val="en-GB"/>
        </w:rPr>
        <w:t xml:space="preserve"> Corporate Environmental Management</w:t>
      </w:r>
    </w:p>
    <w:p w14:paraId="1FBD03F5" w14:textId="77777777" w:rsidR="00CE1D11" w:rsidRPr="00957D1B" w:rsidRDefault="00CE1D11" w:rsidP="00957D1B">
      <w:pPr>
        <w:pStyle w:val="ListParagraph"/>
        <w:numPr>
          <w:ilvl w:val="0"/>
          <w:numId w:val="11"/>
        </w:numPr>
        <w:spacing w:line="360" w:lineRule="auto"/>
        <w:jc w:val="center"/>
        <w:rPr>
          <w:rFonts w:asciiTheme="majorHAnsi" w:hAnsiTheme="majorHAnsi"/>
          <w:b/>
          <w:bCs/>
          <w:sz w:val="32"/>
          <w:szCs w:val="32"/>
        </w:rPr>
      </w:pPr>
      <w:r w:rsidRPr="00957D1B">
        <w:rPr>
          <w:rFonts w:asciiTheme="majorHAnsi" w:hAnsiTheme="majorHAnsi"/>
          <w:b/>
          <w:bCs/>
          <w:sz w:val="32"/>
          <w:szCs w:val="32"/>
        </w:rPr>
        <w:t xml:space="preserve">A Summary – </w:t>
      </w:r>
    </w:p>
    <w:p w14:paraId="22315C96" w14:textId="776B5A25" w:rsidR="00706E2B" w:rsidRPr="001C7B6C" w:rsidRDefault="00286BE1" w:rsidP="001C7B6C">
      <w:pPr>
        <w:tabs>
          <w:tab w:val="num" w:pos="1701"/>
        </w:tabs>
        <w:autoSpaceDE w:val="0"/>
        <w:autoSpaceDN w:val="0"/>
        <w:adjustRightInd w:val="0"/>
        <w:spacing w:after="120"/>
        <w:rPr>
          <w:rFonts w:ascii="Garamond" w:hAnsi="Garamond"/>
          <w:sz w:val="24"/>
          <w:lang w:val="en-GB"/>
        </w:rPr>
      </w:pPr>
      <w:r w:rsidRPr="001C7B6C">
        <w:rPr>
          <w:rFonts w:ascii="Garamond" w:hAnsi="Garamond"/>
          <w:sz w:val="24"/>
          <w:lang w:val="en-GB"/>
        </w:rPr>
        <w:t xml:space="preserve">This summary provides a concise overview of the </w:t>
      </w:r>
      <w:r w:rsidR="00A45CAA" w:rsidRPr="001C7B6C">
        <w:rPr>
          <w:rFonts w:ascii="Garamond" w:hAnsi="Garamond"/>
          <w:sz w:val="24"/>
          <w:lang w:val="en-GB"/>
        </w:rPr>
        <w:t>short visit to the premises of the United Nations Development Programme (UNDP)</w:t>
      </w:r>
      <w:r w:rsidR="00957D1B" w:rsidRPr="001C7B6C">
        <w:rPr>
          <w:rFonts w:ascii="Garamond" w:hAnsi="Garamond"/>
          <w:sz w:val="24"/>
          <w:lang w:val="en-GB"/>
        </w:rPr>
        <w:t xml:space="preserve"> </w:t>
      </w:r>
      <w:r w:rsidR="00A45CAA" w:rsidRPr="001C7B6C">
        <w:rPr>
          <w:rFonts w:ascii="Garamond" w:hAnsi="Garamond"/>
          <w:sz w:val="24"/>
          <w:lang w:val="en-GB"/>
        </w:rPr>
        <w:t xml:space="preserve">office in Amman, Jordan. The visit was combined with the more substantial peer reviews of the WFP and UNRWA headquarters and field offices. </w:t>
      </w:r>
      <w:r w:rsidRPr="001C7B6C">
        <w:rPr>
          <w:rFonts w:ascii="Garamond" w:hAnsi="Garamond"/>
          <w:sz w:val="24"/>
          <w:lang w:val="en-GB"/>
        </w:rPr>
        <w:t xml:space="preserve">The purpose of this summary is to convey the lessons learned and possible areas for future collaboration by other UN agencies. </w:t>
      </w:r>
    </w:p>
    <w:p w14:paraId="09A5ECBC" w14:textId="3DE10C1C" w:rsidR="00286BE1" w:rsidRPr="001C7B6C" w:rsidRDefault="00286BE1" w:rsidP="001C7B6C">
      <w:pPr>
        <w:tabs>
          <w:tab w:val="num" w:pos="1701"/>
        </w:tabs>
        <w:autoSpaceDE w:val="0"/>
        <w:autoSpaceDN w:val="0"/>
        <w:adjustRightInd w:val="0"/>
        <w:spacing w:after="120"/>
        <w:rPr>
          <w:rStyle w:val="Hyperlink"/>
          <w:rFonts w:ascii="Garamond" w:hAnsi="Garamond"/>
          <w:sz w:val="24"/>
          <w:lang w:val="en-GB"/>
        </w:rPr>
      </w:pPr>
      <w:r w:rsidRPr="001C7B6C">
        <w:rPr>
          <w:rFonts w:ascii="Garamond" w:hAnsi="Garamond"/>
          <w:sz w:val="24"/>
          <w:lang w:val="en-GB"/>
        </w:rPr>
        <w:t xml:space="preserve">For more detailed information on the report please contact the EMG Secretariat at </w:t>
      </w:r>
      <w:hyperlink r:id="rId7" w:history="1">
        <w:r w:rsidR="004B4BBE" w:rsidRPr="001C7B6C">
          <w:rPr>
            <w:rStyle w:val="Hyperlink"/>
            <w:rFonts w:ascii="Garamond" w:hAnsi="Garamond"/>
            <w:sz w:val="24"/>
            <w:lang w:val="en-GB"/>
          </w:rPr>
          <w:t>emg@un.org</w:t>
        </w:r>
      </w:hyperlink>
    </w:p>
    <w:p w14:paraId="3D778C56" w14:textId="1B9C1C06" w:rsidR="00A35BC8" w:rsidRPr="00957D1B" w:rsidRDefault="00A35BC8" w:rsidP="001C7B6C">
      <w:pPr>
        <w:spacing w:after="240"/>
        <w:rPr>
          <w:rFonts w:ascii="Garamond" w:hAnsi="Garamond"/>
          <w:b/>
          <w:bCs/>
          <w:i/>
          <w:iCs/>
          <w:sz w:val="24"/>
          <w:lang w:val="en-GB"/>
        </w:rPr>
      </w:pPr>
      <w:r w:rsidRPr="00957D1B">
        <w:rPr>
          <w:rStyle w:val="Heading2Char"/>
          <w:b/>
          <w:bCs/>
          <w:sz w:val="28"/>
          <w:szCs w:val="28"/>
          <w:lang w:val="en-GB"/>
        </w:rPr>
        <w:t>SUBTITLE 1:</w:t>
      </w:r>
      <w:r w:rsidRPr="00957D1B">
        <w:rPr>
          <w:rFonts w:ascii="Garamond" w:hAnsi="Garamond"/>
          <w:b/>
          <w:bCs/>
          <w:sz w:val="24"/>
          <w:lang w:val="en-GB"/>
        </w:rPr>
        <w:t xml:space="preserve"> </w:t>
      </w:r>
      <w:r w:rsidRPr="00957D1B">
        <w:rPr>
          <w:rFonts w:ascii="Garamond" w:hAnsi="Garamond"/>
          <w:b/>
          <w:bCs/>
          <w:i/>
          <w:iCs/>
          <w:sz w:val="28"/>
          <w:szCs w:val="28"/>
          <w:lang w:val="en-GB"/>
        </w:rPr>
        <w:t>The Peer Review Process</w:t>
      </w:r>
    </w:p>
    <w:p w14:paraId="6C6E0744" w14:textId="7FBA0B4D" w:rsidR="00852252" w:rsidRPr="00957D1B" w:rsidRDefault="00852252" w:rsidP="001C7B6C">
      <w:pPr>
        <w:autoSpaceDE w:val="0"/>
        <w:autoSpaceDN w:val="0"/>
        <w:adjustRightInd w:val="0"/>
        <w:spacing w:after="0"/>
        <w:rPr>
          <w:rFonts w:ascii="Garamond" w:eastAsiaTheme="minorEastAsia" w:hAnsi="Garamond" w:cs="Roboto-Regular"/>
          <w:color w:val="auto"/>
          <w:sz w:val="24"/>
          <w:lang w:val="en-US" w:eastAsia="zh-CN"/>
        </w:rPr>
      </w:pPr>
      <w:r w:rsidRPr="00957D1B">
        <w:rPr>
          <w:rFonts w:ascii="Garamond" w:eastAsiaTheme="minorEastAsia" w:hAnsi="Garamond" w:cs="Roboto-Regular"/>
          <w:color w:val="auto"/>
          <w:sz w:val="24"/>
          <w:lang w:val="en-US" w:eastAsia="zh-CN"/>
        </w:rPr>
        <w:t>The Peer Review Process was initiate</w:t>
      </w:r>
      <w:r w:rsidR="00A1744F">
        <w:rPr>
          <w:rFonts w:ascii="Garamond" w:eastAsiaTheme="minorEastAsia" w:hAnsi="Garamond" w:cs="Roboto-Regular"/>
          <w:color w:val="auto"/>
          <w:sz w:val="24"/>
          <w:lang w:val="en-US" w:eastAsia="zh-CN"/>
        </w:rPr>
        <w:t>d in 2012 by the UN</w:t>
      </w:r>
      <w:r w:rsidRPr="00957D1B">
        <w:rPr>
          <w:rFonts w:ascii="Garamond" w:eastAsiaTheme="minorEastAsia" w:hAnsi="Garamond" w:cs="Roboto-Regular"/>
          <w:color w:val="auto"/>
          <w:sz w:val="24"/>
          <w:lang w:val="en-US" w:eastAsia="zh-CN"/>
        </w:rPr>
        <w:t xml:space="preserve"> Environment Management Group (EMG). The Project aims to review the environmental sustainability profile and performance of UN and related agencies</w:t>
      </w:r>
      <w:r w:rsidR="00DF57E9">
        <w:rPr>
          <w:rFonts w:ascii="Garamond" w:eastAsiaTheme="minorEastAsia" w:hAnsi="Garamond" w:cs="Roboto-Regular"/>
          <w:color w:val="auto"/>
          <w:sz w:val="24"/>
          <w:lang w:val="en-US" w:eastAsia="zh-CN"/>
        </w:rPr>
        <w:t>:</w:t>
      </w:r>
      <w:r w:rsidR="00A1744F">
        <w:rPr>
          <w:rFonts w:ascii="Garamond" w:eastAsiaTheme="minorEastAsia" w:hAnsi="Garamond" w:cs="Roboto-Regular"/>
          <w:color w:val="auto"/>
          <w:sz w:val="24"/>
          <w:lang w:val="en-US" w:eastAsia="zh-CN"/>
        </w:rPr>
        <w:t xml:space="preserve"> </w:t>
      </w:r>
      <w:r w:rsidR="00DF57E9">
        <w:rPr>
          <w:rFonts w:ascii="Garamond" w:eastAsiaTheme="minorEastAsia" w:hAnsi="Garamond" w:cs="Roboto-Regular"/>
          <w:color w:val="auto"/>
          <w:sz w:val="24"/>
          <w:lang w:val="en-US" w:eastAsia="zh-CN"/>
        </w:rPr>
        <w:t>p</w:t>
      </w:r>
      <w:r w:rsidRPr="00957D1B">
        <w:rPr>
          <w:rFonts w:ascii="Garamond" w:eastAsiaTheme="minorEastAsia" w:hAnsi="Garamond" w:cs="Roboto-Regular"/>
          <w:color w:val="auto"/>
          <w:sz w:val="24"/>
          <w:lang w:val="en-US" w:eastAsia="zh-CN"/>
        </w:rPr>
        <w:t>eer reviewing refers to one or more agencies reviewing the environmental performance of fellow agencies’ facilities and internal operations.</w:t>
      </w:r>
    </w:p>
    <w:p w14:paraId="182919DC" w14:textId="77777777" w:rsidR="00852252" w:rsidRPr="00957D1B" w:rsidRDefault="00852252" w:rsidP="001C7B6C">
      <w:pPr>
        <w:autoSpaceDE w:val="0"/>
        <w:autoSpaceDN w:val="0"/>
        <w:adjustRightInd w:val="0"/>
        <w:spacing w:after="0"/>
        <w:rPr>
          <w:rFonts w:ascii="Garamond" w:eastAsiaTheme="minorEastAsia" w:hAnsi="Garamond" w:cs="Roboto-Regular"/>
          <w:color w:val="auto"/>
          <w:sz w:val="24"/>
          <w:lang w:val="en-US" w:eastAsia="zh-CN"/>
        </w:rPr>
      </w:pPr>
    </w:p>
    <w:p w14:paraId="0D61B87D" w14:textId="0EF4BDCA" w:rsidR="00852252" w:rsidRPr="00957D1B" w:rsidRDefault="00852252" w:rsidP="001C7B6C">
      <w:pPr>
        <w:autoSpaceDE w:val="0"/>
        <w:autoSpaceDN w:val="0"/>
        <w:adjustRightInd w:val="0"/>
        <w:spacing w:after="0"/>
        <w:rPr>
          <w:rFonts w:ascii="Garamond" w:eastAsiaTheme="minorEastAsia" w:hAnsi="Garamond" w:cs="Roboto-Regular"/>
          <w:color w:val="auto"/>
          <w:sz w:val="24"/>
          <w:lang w:val="en-US" w:eastAsia="zh-CN"/>
        </w:rPr>
      </w:pPr>
      <w:r w:rsidRPr="00957D1B">
        <w:rPr>
          <w:rFonts w:ascii="Garamond" w:eastAsiaTheme="minorEastAsia" w:hAnsi="Garamond" w:cs="Roboto-Regular"/>
          <w:color w:val="auto"/>
          <w:sz w:val="24"/>
          <w:lang w:val="en-US" w:eastAsia="zh-CN"/>
        </w:rPr>
        <w:t>The Peer Review</w:t>
      </w:r>
      <w:r w:rsidR="00DF57E9">
        <w:rPr>
          <w:rFonts w:ascii="Garamond" w:eastAsiaTheme="minorEastAsia" w:hAnsi="Garamond" w:cs="Roboto-Regular"/>
          <w:color w:val="auto"/>
          <w:sz w:val="24"/>
          <w:lang w:val="en-US" w:eastAsia="zh-CN"/>
        </w:rPr>
        <w:t>s</w:t>
      </w:r>
      <w:r w:rsidRPr="00957D1B">
        <w:rPr>
          <w:rFonts w:ascii="Garamond" w:eastAsiaTheme="minorEastAsia" w:hAnsi="Garamond" w:cs="Roboto-Regular"/>
          <w:color w:val="auto"/>
          <w:sz w:val="24"/>
          <w:lang w:val="en-US" w:eastAsia="zh-CN"/>
        </w:rPr>
        <w:t xml:space="preserve"> </w:t>
      </w:r>
      <w:r w:rsidR="00DF57E9">
        <w:rPr>
          <w:rFonts w:ascii="Garamond" w:eastAsiaTheme="minorEastAsia" w:hAnsi="Garamond" w:cs="Roboto-Regular"/>
          <w:color w:val="auto"/>
          <w:sz w:val="24"/>
          <w:lang w:val="en-US" w:eastAsia="zh-CN"/>
        </w:rPr>
        <w:t>are</w:t>
      </w:r>
      <w:r w:rsidRPr="00957D1B">
        <w:rPr>
          <w:rFonts w:ascii="Garamond" w:eastAsiaTheme="minorEastAsia" w:hAnsi="Garamond" w:cs="Roboto-Regular"/>
          <w:color w:val="auto"/>
          <w:sz w:val="24"/>
          <w:lang w:val="en-US" w:eastAsia="zh-CN"/>
        </w:rPr>
        <w:t xml:space="preserve"> undertaken by Peer Review Teams comprising technical experts and representatives of UN entities, international organizations and local government authorities, with support and coordination provided by the EMG Secretariat. The Peer Review Team analyses data and information provided by the reviewed agency based on site visits to the reviewed facility(ies). Achievements, challenges, good practices and lessons learned in approaches to corporate environmental management are then identified and compiled into a Peer Review Report, along with proposed recommendations. These recommendations focus on how the environmental performance of the reviewed entity could be improved, whilst enhancing their resource efficiency and economic</w:t>
      </w:r>
    </w:p>
    <w:p w14:paraId="7C013E47" w14:textId="77777777" w:rsidR="00852252" w:rsidRPr="00957D1B" w:rsidRDefault="00852252" w:rsidP="001C7B6C">
      <w:pPr>
        <w:spacing w:after="240"/>
        <w:rPr>
          <w:rFonts w:ascii="Garamond" w:eastAsiaTheme="minorEastAsia" w:hAnsi="Garamond" w:cs="Roboto-Regular"/>
          <w:color w:val="auto"/>
          <w:sz w:val="24"/>
          <w:lang w:val="en-US" w:eastAsia="zh-CN"/>
        </w:rPr>
      </w:pPr>
      <w:r w:rsidRPr="00957D1B">
        <w:rPr>
          <w:rFonts w:ascii="Garamond" w:eastAsiaTheme="minorEastAsia" w:hAnsi="Garamond" w:cs="Roboto-Regular"/>
          <w:color w:val="auto"/>
          <w:sz w:val="24"/>
          <w:lang w:val="en-US" w:eastAsia="zh-CN"/>
        </w:rPr>
        <w:t>and social sustainability.</w:t>
      </w:r>
    </w:p>
    <w:p w14:paraId="7FFF6CB2" w14:textId="35F7BC58" w:rsidR="00BE247A" w:rsidRPr="00957D1B" w:rsidRDefault="00BE247A" w:rsidP="001C7B6C">
      <w:pPr>
        <w:spacing w:after="240"/>
        <w:rPr>
          <w:rFonts w:ascii="Garamond" w:hAnsi="Garamond"/>
          <w:b/>
          <w:bCs/>
          <w:i/>
          <w:iCs/>
          <w:sz w:val="28"/>
          <w:szCs w:val="28"/>
          <w:lang w:val="en-GB"/>
        </w:rPr>
      </w:pPr>
      <w:r w:rsidRPr="00957D1B">
        <w:rPr>
          <w:rStyle w:val="Heading2Char"/>
          <w:b/>
          <w:bCs/>
          <w:sz w:val="28"/>
          <w:szCs w:val="28"/>
          <w:lang w:val="en-GB"/>
        </w:rPr>
        <w:t>SUBTITLE 2:</w:t>
      </w:r>
      <w:r w:rsidRPr="00957D1B">
        <w:rPr>
          <w:rFonts w:ascii="Garamond" w:hAnsi="Garamond"/>
          <w:b/>
          <w:bCs/>
          <w:sz w:val="24"/>
          <w:lang w:val="en-GB"/>
        </w:rPr>
        <w:t xml:space="preserve"> </w:t>
      </w:r>
      <w:r w:rsidR="006F1048" w:rsidRPr="00957D1B">
        <w:rPr>
          <w:rFonts w:ascii="Garamond" w:hAnsi="Garamond"/>
          <w:b/>
          <w:bCs/>
          <w:i/>
          <w:iCs/>
          <w:sz w:val="28"/>
          <w:szCs w:val="28"/>
          <w:lang w:val="en-GB"/>
        </w:rPr>
        <w:t>Overview</w:t>
      </w:r>
    </w:p>
    <w:p w14:paraId="43C800B0" w14:textId="30675205" w:rsidR="006F1048" w:rsidRPr="00957D1B" w:rsidRDefault="005F56BD" w:rsidP="00B61954">
      <w:pPr>
        <w:spacing w:after="240"/>
        <w:rPr>
          <w:rFonts w:ascii="Garamond" w:hAnsi="Garamond"/>
          <w:sz w:val="24"/>
          <w:lang w:val="en-GB"/>
        </w:rPr>
      </w:pPr>
      <w:r w:rsidRPr="00957D1B">
        <w:rPr>
          <w:rFonts w:ascii="Garamond" w:hAnsi="Garamond"/>
          <w:sz w:val="24"/>
          <w:lang w:val="en-GB"/>
        </w:rPr>
        <w:t>A</w:t>
      </w:r>
      <w:r w:rsidR="00CD6052" w:rsidRPr="00957D1B">
        <w:rPr>
          <w:rFonts w:ascii="Garamond" w:hAnsi="Garamond"/>
          <w:sz w:val="24"/>
          <w:lang w:val="en-GB"/>
        </w:rPr>
        <w:t>lthough a</w:t>
      </w:r>
      <w:r w:rsidRPr="00957D1B">
        <w:rPr>
          <w:rFonts w:ascii="Garamond" w:hAnsi="Garamond"/>
          <w:sz w:val="24"/>
          <w:lang w:val="en-GB"/>
        </w:rPr>
        <w:t xml:space="preserve"> fairly large photovoltaic system </w:t>
      </w:r>
      <w:r w:rsidR="00CD6052" w:rsidRPr="00957D1B">
        <w:rPr>
          <w:rFonts w:ascii="Garamond" w:hAnsi="Garamond"/>
          <w:sz w:val="24"/>
          <w:lang w:val="en-GB"/>
        </w:rPr>
        <w:t>ha</w:t>
      </w:r>
      <w:r w:rsidR="004B7EE0" w:rsidRPr="00957D1B">
        <w:rPr>
          <w:rFonts w:ascii="Garamond" w:hAnsi="Garamond"/>
          <w:sz w:val="24"/>
          <w:lang w:val="en-GB"/>
        </w:rPr>
        <w:t>d</w:t>
      </w:r>
      <w:r w:rsidRPr="00957D1B">
        <w:rPr>
          <w:rFonts w:ascii="Garamond" w:hAnsi="Garamond"/>
          <w:sz w:val="24"/>
          <w:lang w:val="en-GB"/>
        </w:rPr>
        <w:t xml:space="preserve"> already </w:t>
      </w:r>
      <w:r w:rsidR="00CD6052" w:rsidRPr="00957D1B">
        <w:rPr>
          <w:rFonts w:ascii="Garamond" w:hAnsi="Garamond"/>
          <w:sz w:val="24"/>
          <w:lang w:val="en-GB"/>
        </w:rPr>
        <w:t xml:space="preserve">been </w:t>
      </w:r>
      <w:r w:rsidRPr="00957D1B">
        <w:rPr>
          <w:rFonts w:ascii="Garamond" w:hAnsi="Garamond"/>
          <w:sz w:val="24"/>
          <w:lang w:val="en-GB"/>
        </w:rPr>
        <w:t>installed on t</w:t>
      </w:r>
      <w:r w:rsidR="00CD6052" w:rsidRPr="00957D1B">
        <w:rPr>
          <w:rFonts w:ascii="Garamond" w:hAnsi="Garamond"/>
          <w:sz w:val="24"/>
          <w:lang w:val="en-GB"/>
        </w:rPr>
        <w:t xml:space="preserve">he roof throughout the UNDP offices, several opportunities </w:t>
      </w:r>
      <w:r w:rsidR="00DF57E9">
        <w:rPr>
          <w:rFonts w:ascii="Garamond" w:hAnsi="Garamond"/>
          <w:sz w:val="24"/>
          <w:lang w:val="en-GB"/>
        </w:rPr>
        <w:t xml:space="preserve">were identified </w:t>
      </w:r>
      <w:r w:rsidR="00CD6052" w:rsidRPr="00957D1B">
        <w:rPr>
          <w:rFonts w:ascii="Garamond" w:hAnsi="Garamond"/>
          <w:sz w:val="24"/>
          <w:lang w:val="en-GB"/>
        </w:rPr>
        <w:t xml:space="preserve">to further reduce actual energy consumption. The visit </w:t>
      </w:r>
      <w:r w:rsidR="00066E84" w:rsidRPr="00957D1B">
        <w:rPr>
          <w:rFonts w:ascii="Garamond" w:hAnsi="Garamond"/>
          <w:sz w:val="24"/>
          <w:lang w:val="en-GB"/>
        </w:rPr>
        <w:t xml:space="preserve">found that the easiest and most financially feasible option to reduce energy consumption </w:t>
      </w:r>
      <w:r w:rsidR="00DF57E9">
        <w:rPr>
          <w:rFonts w:ascii="Garamond" w:hAnsi="Garamond"/>
          <w:sz w:val="24"/>
          <w:lang w:val="en-GB"/>
        </w:rPr>
        <w:t>in</w:t>
      </w:r>
      <w:r w:rsidR="00DF57E9" w:rsidRPr="00957D1B">
        <w:rPr>
          <w:rFonts w:ascii="Garamond" w:hAnsi="Garamond"/>
          <w:sz w:val="24"/>
          <w:lang w:val="en-GB"/>
        </w:rPr>
        <w:t xml:space="preserve"> </w:t>
      </w:r>
      <w:r w:rsidR="00066E84" w:rsidRPr="00957D1B">
        <w:rPr>
          <w:rFonts w:ascii="Garamond" w:hAnsi="Garamond"/>
          <w:sz w:val="24"/>
          <w:lang w:val="en-GB"/>
        </w:rPr>
        <w:t>th</w:t>
      </w:r>
      <w:r w:rsidR="00DF57E9">
        <w:rPr>
          <w:rFonts w:ascii="Garamond" w:hAnsi="Garamond"/>
          <w:sz w:val="24"/>
          <w:lang w:val="en-GB"/>
        </w:rPr>
        <w:t>ese</w:t>
      </w:r>
      <w:r w:rsidR="00066E84" w:rsidRPr="00957D1B">
        <w:rPr>
          <w:rFonts w:ascii="Garamond" w:hAnsi="Garamond"/>
          <w:sz w:val="24"/>
          <w:lang w:val="en-GB"/>
        </w:rPr>
        <w:t xml:space="preserve"> premises is to improve</w:t>
      </w:r>
      <w:r w:rsidR="00DF57E9">
        <w:rPr>
          <w:rFonts w:ascii="Garamond" w:hAnsi="Garamond"/>
          <w:sz w:val="24"/>
          <w:lang w:val="en-GB"/>
        </w:rPr>
        <w:t xml:space="preserve"> </w:t>
      </w:r>
      <w:r w:rsidR="00066E84" w:rsidRPr="00957D1B">
        <w:rPr>
          <w:rFonts w:ascii="Garamond" w:hAnsi="Garamond"/>
          <w:sz w:val="24"/>
          <w:lang w:val="en-GB"/>
        </w:rPr>
        <w:t>the lighting system. It was calculated that an efficient lighting system and</w:t>
      </w:r>
      <w:r w:rsidR="00DF57E9">
        <w:rPr>
          <w:rFonts w:ascii="Garamond" w:hAnsi="Garamond"/>
          <w:sz w:val="24"/>
          <w:lang w:val="en-GB"/>
        </w:rPr>
        <w:t xml:space="preserve"> an</w:t>
      </w:r>
      <w:r w:rsidR="00066E84" w:rsidRPr="00957D1B">
        <w:rPr>
          <w:rFonts w:ascii="Garamond" w:hAnsi="Garamond"/>
          <w:sz w:val="24"/>
          <w:lang w:val="en-GB"/>
        </w:rPr>
        <w:t xml:space="preserve"> accompanying good management could easily reduce lighting energy consumption by 50%</w:t>
      </w:r>
      <w:r w:rsidR="004827CC" w:rsidRPr="00957D1B">
        <w:rPr>
          <w:rFonts w:ascii="Garamond" w:hAnsi="Garamond"/>
          <w:sz w:val="24"/>
          <w:lang w:val="en-GB"/>
        </w:rPr>
        <w:t>. It is likely that such a reduction in energy consumption would le</w:t>
      </w:r>
      <w:r w:rsidR="00CB09D8" w:rsidRPr="00957D1B">
        <w:rPr>
          <w:rFonts w:ascii="Garamond" w:hAnsi="Garamond"/>
          <w:sz w:val="24"/>
          <w:lang w:val="en-GB"/>
        </w:rPr>
        <w:t>ad to a minimum 10%- 30% drop in total building energy use.</w:t>
      </w:r>
    </w:p>
    <w:p w14:paraId="06D0AD49" w14:textId="6C50C0FE" w:rsidR="006A7A46" w:rsidRPr="00957D1B" w:rsidRDefault="00CB09D8" w:rsidP="00B61954">
      <w:pPr>
        <w:spacing w:after="240"/>
        <w:rPr>
          <w:rFonts w:ascii="Garamond" w:hAnsi="Garamond"/>
          <w:sz w:val="24"/>
          <w:lang w:val="en-GB"/>
        </w:rPr>
      </w:pPr>
      <w:r w:rsidRPr="00957D1B">
        <w:rPr>
          <w:rFonts w:ascii="Garamond" w:hAnsi="Garamond"/>
          <w:sz w:val="24"/>
          <w:lang w:val="en-GB"/>
        </w:rPr>
        <w:t xml:space="preserve">Good opportunities were also identified to improve the building air-conditioning system, which was found to be poorly installed. For example, the refrigerant coil component was found </w:t>
      </w:r>
      <w:r w:rsidR="00DF57E9">
        <w:rPr>
          <w:rFonts w:ascii="Garamond" w:hAnsi="Garamond"/>
          <w:sz w:val="24"/>
          <w:lang w:val="en-GB"/>
        </w:rPr>
        <w:t>to have no</w:t>
      </w:r>
      <w:r w:rsidR="00DF57E9" w:rsidRPr="00957D1B">
        <w:rPr>
          <w:rFonts w:ascii="Garamond" w:hAnsi="Garamond"/>
          <w:sz w:val="24"/>
          <w:lang w:val="en-GB"/>
        </w:rPr>
        <w:t xml:space="preserve"> </w:t>
      </w:r>
      <w:r w:rsidRPr="00957D1B">
        <w:rPr>
          <w:rFonts w:ascii="Garamond" w:hAnsi="Garamond"/>
          <w:sz w:val="24"/>
          <w:lang w:val="en-GB"/>
        </w:rPr>
        <w:t>insulation</w:t>
      </w:r>
      <w:r w:rsidR="006A7A46" w:rsidRPr="00957D1B">
        <w:rPr>
          <w:rFonts w:ascii="Garamond" w:hAnsi="Garamond"/>
          <w:sz w:val="24"/>
          <w:lang w:val="en-GB"/>
        </w:rPr>
        <w:t xml:space="preserve"> and very poor air-tightness</w:t>
      </w:r>
      <w:r w:rsidRPr="00957D1B">
        <w:rPr>
          <w:rFonts w:ascii="Garamond" w:hAnsi="Garamond"/>
          <w:sz w:val="24"/>
          <w:lang w:val="en-GB"/>
        </w:rPr>
        <w:t xml:space="preserve">, leading to a release in </w:t>
      </w:r>
      <w:r w:rsidR="006A7A46" w:rsidRPr="00957D1B">
        <w:rPr>
          <w:rFonts w:ascii="Garamond" w:hAnsi="Garamond"/>
          <w:sz w:val="24"/>
          <w:lang w:val="en-GB"/>
        </w:rPr>
        <w:t xml:space="preserve">energy. Further recommendations were made, such as improving the ‘phantom load’ management of all plug loads, including for printers and water </w:t>
      </w:r>
      <w:r w:rsidR="00B61954" w:rsidRPr="00957D1B">
        <w:rPr>
          <w:rFonts w:ascii="Garamond" w:hAnsi="Garamond"/>
          <w:sz w:val="24"/>
          <w:lang w:val="en-GB"/>
        </w:rPr>
        <w:t>dispensers</w:t>
      </w:r>
      <w:r w:rsidR="00B61954">
        <w:rPr>
          <w:rFonts w:ascii="Garamond" w:hAnsi="Garamond"/>
          <w:sz w:val="24"/>
          <w:lang w:val="en-GB"/>
        </w:rPr>
        <w:t>.</w:t>
      </w:r>
      <w:r w:rsidR="006A7A46" w:rsidRPr="00957D1B">
        <w:rPr>
          <w:rFonts w:ascii="Garamond" w:hAnsi="Garamond"/>
          <w:sz w:val="24"/>
          <w:lang w:val="en-GB"/>
        </w:rPr>
        <w:t xml:space="preserve"> </w:t>
      </w:r>
      <w:r w:rsidR="00FA6274" w:rsidRPr="00957D1B">
        <w:rPr>
          <w:rFonts w:ascii="Garamond" w:hAnsi="Garamond"/>
          <w:sz w:val="24"/>
          <w:lang w:val="en-GB"/>
        </w:rPr>
        <w:t xml:space="preserve">It was also highlighted that better energy management of the server room was required.  </w:t>
      </w:r>
    </w:p>
    <w:p w14:paraId="39FF085C" w14:textId="771F0D80" w:rsidR="006A7A46" w:rsidRPr="00957D1B" w:rsidRDefault="005922B8" w:rsidP="00B61954">
      <w:pPr>
        <w:spacing w:after="240"/>
        <w:rPr>
          <w:rFonts w:ascii="Garamond" w:hAnsi="Garamond"/>
          <w:sz w:val="24"/>
          <w:lang w:val="en-GB"/>
        </w:rPr>
      </w:pPr>
      <w:r w:rsidRPr="00957D1B">
        <w:rPr>
          <w:rFonts w:ascii="Garamond" w:hAnsi="Garamond"/>
          <w:sz w:val="24"/>
          <w:lang w:val="en-GB"/>
        </w:rPr>
        <w:t>Returning to the photovoltaic system, it was found that a more in-depth study is warranted on the installed roof system</w:t>
      </w:r>
      <w:r w:rsidR="00DF57E9">
        <w:rPr>
          <w:rFonts w:ascii="Garamond" w:hAnsi="Garamond"/>
          <w:sz w:val="24"/>
          <w:lang w:val="en-GB"/>
        </w:rPr>
        <w:t>, as t</w:t>
      </w:r>
      <w:r w:rsidRPr="00957D1B">
        <w:rPr>
          <w:rFonts w:ascii="Garamond" w:hAnsi="Garamond"/>
          <w:sz w:val="24"/>
          <w:lang w:val="en-GB"/>
        </w:rPr>
        <w:t xml:space="preserve">he energy bill </w:t>
      </w:r>
      <w:r w:rsidR="00DF57E9">
        <w:rPr>
          <w:rFonts w:ascii="Garamond" w:hAnsi="Garamond"/>
          <w:sz w:val="24"/>
          <w:lang w:val="en-GB"/>
        </w:rPr>
        <w:t>seemed to</w:t>
      </w:r>
      <w:r w:rsidRPr="00957D1B">
        <w:rPr>
          <w:rFonts w:ascii="Garamond" w:hAnsi="Garamond"/>
          <w:sz w:val="24"/>
          <w:lang w:val="en-GB"/>
        </w:rPr>
        <w:t xml:space="preserve"> not </w:t>
      </w:r>
      <w:r w:rsidR="00DF57E9">
        <w:rPr>
          <w:rFonts w:ascii="Garamond" w:hAnsi="Garamond"/>
          <w:sz w:val="24"/>
          <w:lang w:val="en-GB"/>
        </w:rPr>
        <w:t xml:space="preserve">properly </w:t>
      </w:r>
      <w:r w:rsidRPr="00957D1B">
        <w:rPr>
          <w:rFonts w:ascii="Garamond" w:hAnsi="Garamond"/>
          <w:sz w:val="24"/>
          <w:lang w:val="en-GB"/>
        </w:rPr>
        <w:t>reflect the contribution of the photovoltaics to the building. During the visit, the system was found to be generating 14Kw on a sunny day</w:t>
      </w:r>
      <w:r w:rsidR="00DF57E9">
        <w:rPr>
          <w:rFonts w:ascii="Garamond" w:hAnsi="Garamond"/>
          <w:sz w:val="24"/>
          <w:lang w:val="en-GB"/>
        </w:rPr>
        <w:t>, y</w:t>
      </w:r>
      <w:r w:rsidRPr="00957D1B">
        <w:rPr>
          <w:rFonts w:ascii="Garamond" w:hAnsi="Garamond"/>
          <w:sz w:val="24"/>
          <w:lang w:val="en-GB"/>
        </w:rPr>
        <w:t xml:space="preserve">et better performance can be extracted from the photovoltaic panels if there is less dust on their surface. Regular sweeping </w:t>
      </w:r>
      <w:r w:rsidR="00D34C5A" w:rsidRPr="00957D1B">
        <w:rPr>
          <w:rFonts w:ascii="Garamond" w:hAnsi="Garamond"/>
          <w:sz w:val="24"/>
          <w:lang w:val="en-GB"/>
        </w:rPr>
        <w:t xml:space="preserve">of the panels </w:t>
      </w:r>
      <w:r w:rsidRPr="00957D1B">
        <w:rPr>
          <w:rFonts w:ascii="Garamond" w:hAnsi="Garamond"/>
          <w:sz w:val="24"/>
          <w:lang w:val="en-GB"/>
        </w:rPr>
        <w:t>was recommended</w:t>
      </w:r>
      <w:r w:rsidR="00D34C5A" w:rsidRPr="00957D1B">
        <w:rPr>
          <w:rFonts w:ascii="Garamond" w:hAnsi="Garamond"/>
          <w:sz w:val="24"/>
          <w:lang w:val="en-GB"/>
        </w:rPr>
        <w:t xml:space="preserve"> in order to keep them performing at an optimal output. </w:t>
      </w:r>
      <w:r w:rsidRPr="00957D1B">
        <w:rPr>
          <w:rFonts w:ascii="Garamond" w:hAnsi="Garamond"/>
          <w:sz w:val="24"/>
          <w:lang w:val="en-GB"/>
        </w:rPr>
        <w:t xml:space="preserve"> </w:t>
      </w:r>
    </w:p>
    <w:p w14:paraId="6FDFC793" w14:textId="35BD492F" w:rsidR="006A7A46" w:rsidRPr="00957D1B" w:rsidRDefault="00FA6274" w:rsidP="00B61954">
      <w:pPr>
        <w:spacing w:after="240"/>
        <w:rPr>
          <w:rFonts w:ascii="Garamond" w:hAnsi="Garamond"/>
          <w:sz w:val="24"/>
          <w:lang w:val="en-GB"/>
        </w:rPr>
      </w:pPr>
      <w:r w:rsidRPr="00957D1B">
        <w:rPr>
          <w:rFonts w:ascii="Garamond" w:hAnsi="Garamond"/>
          <w:sz w:val="24"/>
          <w:lang w:val="en-GB"/>
        </w:rPr>
        <w:lastRenderedPageBreak/>
        <w:t xml:space="preserve">At the site visit, it was not possible to trace the photovoltaic output to the external grid, and the system was therefore assumed to be internally connected. Ideally, this situation should reduce the building’s need for grid-fed power, thereby reducing the energy bill substantially. However, if the utility company is not aware of the photovoltaic installation, they will assume a faulty meter is in place and continue to charge the standard rate. </w:t>
      </w:r>
    </w:p>
    <w:p w14:paraId="6039846E" w14:textId="4E7BB3A8" w:rsidR="00C1050F" w:rsidRPr="00957D1B" w:rsidRDefault="00C1050F" w:rsidP="001C7B6C">
      <w:pPr>
        <w:spacing w:after="240"/>
        <w:rPr>
          <w:rFonts w:ascii="Garamond" w:hAnsi="Garamond"/>
          <w:b/>
          <w:bCs/>
          <w:i/>
          <w:iCs/>
          <w:sz w:val="28"/>
          <w:szCs w:val="28"/>
          <w:lang w:val="en-GB"/>
        </w:rPr>
      </w:pPr>
      <w:r w:rsidRPr="00957D1B">
        <w:rPr>
          <w:rStyle w:val="Heading2Char"/>
          <w:sz w:val="28"/>
          <w:szCs w:val="28"/>
          <w:lang w:val="en-GB"/>
        </w:rPr>
        <w:t>SUBTITLE 1:</w:t>
      </w:r>
      <w:r w:rsidRPr="00957D1B">
        <w:rPr>
          <w:rFonts w:ascii="Garamond" w:hAnsi="Garamond"/>
          <w:i/>
          <w:iCs/>
          <w:sz w:val="28"/>
          <w:szCs w:val="28"/>
          <w:lang w:val="en-GB"/>
        </w:rPr>
        <w:t xml:space="preserve"> </w:t>
      </w:r>
      <w:r w:rsidR="00E86D67" w:rsidRPr="00957D1B">
        <w:rPr>
          <w:rFonts w:ascii="Garamond" w:hAnsi="Garamond"/>
          <w:b/>
          <w:bCs/>
          <w:i/>
          <w:iCs/>
          <w:sz w:val="28"/>
          <w:szCs w:val="28"/>
          <w:lang w:val="en-GB"/>
        </w:rPr>
        <w:t xml:space="preserve">Good Practices </w:t>
      </w:r>
    </w:p>
    <w:p w14:paraId="44B76AAC" w14:textId="20526648" w:rsidR="00B178B0"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Daylight Use</w:t>
      </w:r>
    </w:p>
    <w:p w14:paraId="142A906E" w14:textId="568C2C01" w:rsidR="002426E2" w:rsidRPr="00957D1B" w:rsidRDefault="002426E2" w:rsidP="001C7B6C">
      <w:pPr>
        <w:spacing w:after="240"/>
        <w:rPr>
          <w:rFonts w:ascii="Garamond" w:hAnsi="Garamond"/>
          <w:sz w:val="24"/>
          <w:lang w:val="en-GB"/>
        </w:rPr>
      </w:pPr>
      <w:r w:rsidRPr="00957D1B">
        <w:rPr>
          <w:rFonts w:ascii="Garamond" w:hAnsi="Garamond"/>
          <w:sz w:val="24"/>
          <w:lang w:val="en-GB"/>
        </w:rPr>
        <w:t xml:space="preserve">The use of natural daylight as lighting for the meeting room was </w:t>
      </w:r>
      <w:r w:rsidR="00DF57E9">
        <w:rPr>
          <w:rFonts w:ascii="Garamond" w:hAnsi="Garamond"/>
          <w:sz w:val="24"/>
          <w:lang w:val="en-GB"/>
        </w:rPr>
        <w:t>noticed</w:t>
      </w:r>
      <w:r w:rsidRPr="00957D1B">
        <w:rPr>
          <w:rFonts w:ascii="Garamond" w:hAnsi="Garamond"/>
          <w:sz w:val="24"/>
          <w:lang w:val="en-GB"/>
        </w:rPr>
        <w:t xml:space="preserve">. At the same time, the reflective foil installed above the roof light was identified as a good strategy for controlling the level of daylight entering the meeting room whilst also reducing any excess heat gain into the building. </w:t>
      </w:r>
      <w:r w:rsidR="00567611" w:rsidRPr="00957D1B">
        <w:rPr>
          <w:rFonts w:ascii="Garamond" w:hAnsi="Garamond"/>
          <w:sz w:val="24"/>
          <w:lang w:val="en-GB"/>
        </w:rPr>
        <w:t>In addition to good practice daylight capture, there were energy efficient LED compound flood lights in use.</w:t>
      </w:r>
    </w:p>
    <w:p w14:paraId="579ACEC9" w14:textId="2257FD0E" w:rsidR="002426E2" w:rsidRPr="00957D1B" w:rsidRDefault="002426E2" w:rsidP="001C7B6C">
      <w:pPr>
        <w:spacing w:after="240"/>
        <w:rPr>
          <w:rFonts w:ascii="Garamond" w:hAnsi="Garamond"/>
          <w:sz w:val="24"/>
          <w:lang w:val="en-GB"/>
        </w:rPr>
      </w:pPr>
      <w:r w:rsidRPr="00957D1B">
        <w:rPr>
          <w:rFonts w:ascii="Garamond" w:hAnsi="Garamond"/>
          <w:sz w:val="24"/>
          <w:lang w:val="en-GB"/>
        </w:rPr>
        <w:t xml:space="preserve">It was </w:t>
      </w:r>
      <w:r w:rsidR="0080734A">
        <w:rPr>
          <w:rFonts w:ascii="Garamond" w:hAnsi="Garamond"/>
          <w:sz w:val="24"/>
          <w:lang w:val="en-GB"/>
        </w:rPr>
        <w:t>observed</w:t>
      </w:r>
      <w:r w:rsidR="0080734A" w:rsidRPr="00957D1B">
        <w:rPr>
          <w:rFonts w:ascii="Garamond" w:hAnsi="Garamond"/>
          <w:sz w:val="24"/>
          <w:lang w:val="en-GB"/>
        </w:rPr>
        <w:t xml:space="preserve"> </w:t>
      </w:r>
      <w:r w:rsidRPr="00957D1B">
        <w:rPr>
          <w:rFonts w:ascii="Garamond" w:hAnsi="Garamond"/>
          <w:sz w:val="24"/>
          <w:lang w:val="en-GB"/>
        </w:rPr>
        <w:t xml:space="preserve">that this measure could be improved further, </w:t>
      </w:r>
      <w:r w:rsidR="00595E54" w:rsidRPr="00957D1B">
        <w:rPr>
          <w:rFonts w:ascii="Garamond" w:hAnsi="Garamond"/>
          <w:sz w:val="24"/>
          <w:lang w:val="en-GB"/>
        </w:rPr>
        <w:t xml:space="preserve">simply by placing an extra layer of thin aluminium foil just below the glazing. The current configuration above the roof light glazing will reduce heat transfer, but still not as efficiently as foil being placed below the glazing. Due to the low emissivity properties of aluminium foil to stop radiation, the roof light glazing will still heat up and transfer this heat inside. Furthermore, </w:t>
      </w:r>
      <w:r w:rsidR="00685C67" w:rsidRPr="00957D1B">
        <w:rPr>
          <w:rFonts w:ascii="Garamond" w:hAnsi="Garamond"/>
          <w:sz w:val="24"/>
          <w:lang w:val="en-GB"/>
        </w:rPr>
        <w:t xml:space="preserve">above the roof, </w:t>
      </w:r>
      <w:r w:rsidR="00595E54" w:rsidRPr="00957D1B">
        <w:rPr>
          <w:rFonts w:ascii="Garamond" w:hAnsi="Garamond"/>
          <w:sz w:val="24"/>
          <w:lang w:val="en-GB"/>
        </w:rPr>
        <w:t xml:space="preserve">an air gap must exist between the foil and the glazing to hinder any </w:t>
      </w:r>
      <w:r w:rsidR="00685C67" w:rsidRPr="00957D1B">
        <w:rPr>
          <w:rFonts w:ascii="Garamond" w:hAnsi="Garamond"/>
          <w:sz w:val="24"/>
          <w:lang w:val="en-GB"/>
        </w:rPr>
        <w:t>heat transfer.</w:t>
      </w:r>
    </w:p>
    <w:p w14:paraId="5A0E5054" w14:textId="09EA62D5"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Air-tight window frames</w:t>
      </w:r>
    </w:p>
    <w:p w14:paraId="26C953AB" w14:textId="2532FB0E" w:rsidR="00331A59" w:rsidRPr="00957D1B" w:rsidRDefault="00331A59" w:rsidP="001C7B6C">
      <w:pPr>
        <w:rPr>
          <w:rFonts w:ascii="Garamond" w:hAnsi="Garamond"/>
          <w:sz w:val="24"/>
          <w:szCs w:val="28"/>
          <w:lang w:val="en-US"/>
        </w:rPr>
      </w:pPr>
      <w:r w:rsidRPr="00957D1B">
        <w:rPr>
          <w:rFonts w:ascii="Garamond" w:hAnsi="Garamond"/>
          <w:sz w:val="24"/>
          <w:szCs w:val="28"/>
          <w:lang w:val="en-US"/>
        </w:rPr>
        <w:t xml:space="preserve">Window frames throughout the UNDP building were found to have proper seals for infiltration control. In order to maximize the benefits of this feature, it is </w:t>
      </w:r>
      <w:r w:rsidR="000A1BC6" w:rsidRPr="00957D1B">
        <w:rPr>
          <w:rFonts w:ascii="Garamond" w:hAnsi="Garamond"/>
          <w:sz w:val="24"/>
          <w:szCs w:val="28"/>
          <w:lang w:val="en-US"/>
        </w:rPr>
        <w:t>worth ensuring that all windows are properly closed whenever air-conditioning and heating is being used. Installing a fresh air supply with CO</w:t>
      </w:r>
      <w:r w:rsidR="000A1BC6" w:rsidRPr="00957D1B">
        <w:rPr>
          <w:rFonts w:ascii="Garamond" w:hAnsi="Garamond"/>
          <w:sz w:val="24"/>
          <w:szCs w:val="28"/>
          <w:vertAlign w:val="subscript"/>
          <w:lang w:val="en-US"/>
        </w:rPr>
        <w:t>2</w:t>
      </w:r>
      <w:r w:rsidR="000A1BC6" w:rsidRPr="00957D1B">
        <w:rPr>
          <w:rFonts w:ascii="Garamond" w:hAnsi="Garamond"/>
          <w:sz w:val="24"/>
          <w:szCs w:val="28"/>
          <w:lang w:val="en-US"/>
        </w:rPr>
        <w:t xml:space="preserve"> sensors is worthwhile, to ensure </w:t>
      </w:r>
      <w:r w:rsidR="0080734A">
        <w:rPr>
          <w:rFonts w:ascii="Garamond" w:hAnsi="Garamond"/>
          <w:sz w:val="24"/>
          <w:szCs w:val="28"/>
          <w:lang w:val="en-US"/>
        </w:rPr>
        <w:t xml:space="preserve">that </w:t>
      </w:r>
      <w:r w:rsidR="000A1BC6" w:rsidRPr="00957D1B">
        <w:rPr>
          <w:rFonts w:ascii="Garamond" w:hAnsi="Garamond"/>
          <w:sz w:val="24"/>
          <w:szCs w:val="28"/>
          <w:lang w:val="en-US"/>
        </w:rPr>
        <w:t xml:space="preserve">adequate fresh air is supplied when the building is made air-tight. </w:t>
      </w:r>
    </w:p>
    <w:p w14:paraId="6D21ABE6" w14:textId="7B9B6620" w:rsidR="00B32AEE" w:rsidRPr="00957D1B" w:rsidRDefault="00121F0F" w:rsidP="001C7B6C">
      <w:pPr>
        <w:spacing w:after="240"/>
        <w:rPr>
          <w:rFonts w:ascii="Garamond" w:hAnsi="Garamond"/>
          <w:b/>
          <w:bCs/>
          <w:i/>
          <w:iCs/>
          <w:sz w:val="28"/>
          <w:szCs w:val="28"/>
          <w:lang w:val="en-GB"/>
        </w:rPr>
      </w:pPr>
      <w:r w:rsidRPr="00957D1B">
        <w:rPr>
          <w:rStyle w:val="Heading2Char"/>
          <w:sz w:val="28"/>
          <w:szCs w:val="28"/>
          <w:lang w:val="en-GB"/>
        </w:rPr>
        <w:t xml:space="preserve">SUBTITLE </w:t>
      </w:r>
      <w:r w:rsidR="00A5360D" w:rsidRPr="00957D1B">
        <w:rPr>
          <w:rStyle w:val="Heading2Char"/>
          <w:sz w:val="28"/>
          <w:szCs w:val="28"/>
          <w:lang w:val="en-GB"/>
        </w:rPr>
        <w:t>4</w:t>
      </w:r>
      <w:r w:rsidR="00B32AEE" w:rsidRPr="00957D1B">
        <w:rPr>
          <w:rStyle w:val="Heading2Char"/>
          <w:sz w:val="28"/>
          <w:szCs w:val="28"/>
          <w:lang w:val="en-GB"/>
        </w:rPr>
        <w:t>:</w:t>
      </w:r>
      <w:r w:rsidR="00B32AEE" w:rsidRPr="00957D1B">
        <w:rPr>
          <w:rFonts w:ascii="Garamond" w:hAnsi="Garamond"/>
          <w:b/>
          <w:bCs/>
          <w:i/>
          <w:iCs/>
          <w:sz w:val="28"/>
          <w:szCs w:val="28"/>
          <w:lang w:val="en-GB"/>
        </w:rPr>
        <w:t xml:space="preserve"> </w:t>
      </w:r>
      <w:r w:rsidR="00E86D67" w:rsidRPr="00957D1B">
        <w:rPr>
          <w:rFonts w:ascii="Garamond" w:hAnsi="Garamond"/>
          <w:b/>
          <w:bCs/>
          <w:i/>
          <w:iCs/>
          <w:sz w:val="28"/>
          <w:szCs w:val="28"/>
          <w:lang w:val="en-GB"/>
        </w:rPr>
        <w:t>Potential Improvements</w:t>
      </w:r>
    </w:p>
    <w:p w14:paraId="4F560B1C" w14:textId="131BA968" w:rsidR="0026388F" w:rsidRPr="00957D1B" w:rsidRDefault="0026388F" w:rsidP="001C7B6C">
      <w:pPr>
        <w:rPr>
          <w:rFonts w:ascii="Garamond" w:hAnsi="Garamond"/>
          <w:sz w:val="24"/>
          <w:szCs w:val="28"/>
          <w:lang w:val="en-US"/>
        </w:rPr>
      </w:pPr>
      <w:r w:rsidRPr="00957D1B">
        <w:rPr>
          <w:rFonts w:ascii="Garamond" w:hAnsi="Garamond"/>
          <w:sz w:val="24"/>
          <w:szCs w:val="28"/>
          <w:lang w:val="en-US"/>
        </w:rPr>
        <w:t xml:space="preserve">The site visit found that if all the following suggested energy </w:t>
      </w:r>
      <w:r w:rsidR="00731B0C" w:rsidRPr="00957D1B">
        <w:rPr>
          <w:rFonts w:ascii="Garamond" w:hAnsi="Garamond"/>
          <w:sz w:val="24"/>
          <w:szCs w:val="28"/>
          <w:lang w:val="en-US"/>
        </w:rPr>
        <w:t>efficiency</w:t>
      </w:r>
      <w:r w:rsidRPr="00957D1B">
        <w:rPr>
          <w:rFonts w:ascii="Garamond" w:hAnsi="Garamond"/>
          <w:sz w:val="24"/>
          <w:szCs w:val="28"/>
          <w:lang w:val="en-US"/>
        </w:rPr>
        <w:t xml:space="preserve"> improvements are made across the premises, a minimum 50% reduction in energy use could be achieved.    </w:t>
      </w:r>
    </w:p>
    <w:p w14:paraId="13A9CE71" w14:textId="6AC9EAE1"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Lighting efficiency</w:t>
      </w:r>
    </w:p>
    <w:p w14:paraId="486AA07D" w14:textId="1090B713" w:rsidR="001A714B" w:rsidRPr="00957D1B" w:rsidRDefault="001A714B" w:rsidP="001C7B6C">
      <w:pPr>
        <w:pStyle w:val="ListParagraph"/>
        <w:ind w:left="18"/>
        <w:rPr>
          <w:rFonts w:ascii="Garamond" w:hAnsi="Garamond"/>
          <w:sz w:val="24"/>
          <w:szCs w:val="24"/>
        </w:rPr>
      </w:pPr>
      <w:r w:rsidRPr="00957D1B">
        <w:rPr>
          <w:rFonts w:ascii="Garamond" w:hAnsi="Garamond"/>
          <w:sz w:val="24"/>
          <w:szCs w:val="24"/>
        </w:rPr>
        <w:t>In one bathroom a total of 9 lamps were identified, with a combined total of 162 Watts. Yet, it would be very feasible to light the same bathroom with only 1 LED panel totalling 14 Watts or lower. This would lead to a reduction of 90% in wattage. At the same time, it was also found that halogen lights were being used in the main entrance lobby, and they were left switched on despite the availability of adequate daylight</w:t>
      </w:r>
      <w:r w:rsidR="0080734A">
        <w:rPr>
          <w:rFonts w:ascii="Garamond" w:hAnsi="Garamond"/>
          <w:sz w:val="24"/>
          <w:szCs w:val="24"/>
        </w:rPr>
        <w:t xml:space="preserve"> and the same can be said for the</w:t>
      </w:r>
      <w:r w:rsidRPr="00957D1B">
        <w:rPr>
          <w:rFonts w:ascii="Garamond" w:hAnsi="Garamond"/>
          <w:sz w:val="24"/>
          <w:szCs w:val="24"/>
        </w:rPr>
        <w:t xml:space="preserve"> </w:t>
      </w:r>
      <w:r w:rsidR="0080734A">
        <w:rPr>
          <w:rFonts w:ascii="Garamond" w:hAnsi="Garamond"/>
          <w:sz w:val="24"/>
          <w:szCs w:val="24"/>
        </w:rPr>
        <w:t>k</w:t>
      </w:r>
      <w:r w:rsidR="007C5B19" w:rsidRPr="00957D1B">
        <w:rPr>
          <w:rFonts w:ascii="Garamond" w:hAnsi="Garamond"/>
          <w:sz w:val="24"/>
          <w:szCs w:val="24"/>
        </w:rPr>
        <w:t xml:space="preserve">itchen lights. Furthermore, inefficient compound lighting was </w:t>
      </w:r>
      <w:r w:rsidR="0080734A">
        <w:rPr>
          <w:rFonts w:ascii="Garamond" w:hAnsi="Garamond"/>
          <w:sz w:val="24"/>
          <w:szCs w:val="24"/>
        </w:rPr>
        <w:t>noticed</w:t>
      </w:r>
      <w:r w:rsidR="0080734A" w:rsidRPr="00957D1B">
        <w:rPr>
          <w:rFonts w:ascii="Garamond" w:hAnsi="Garamond"/>
          <w:sz w:val="24"/>
          <w:szCs w:val="24"/>
        </w:rPr>
        <w:t xml:space="preserve"> </w:t>
      </w:r>
      <w:r w:rsidR="007C5B19" w:rsidRPr="00957D1B">
        <w:rPr>
          <w:rFonts w:ascii="Garamond" w:hAnsi="Garamond"/>
          <w:sz w:val="24"/>
          <w:szCs w:val="24"/>
        </w:rPr>
        <w:t xml:space="preserve">in the yard, along with inefficient lighting in </w:t>
      </w:r>
      <w:r w:rsidR="004F1323" w:rsidRPr="00957D1B">
        <w:rPr>
          <w:rFonts w:ascii="Garamond" w:hAnsi="Garamond"/>
          <w:sz w:val="24"/>
          <w:szCs w:val="24"/>
        </w:rPr>
        <w:t xml:space="preserve">the corridors and the car park. </w:t>
      </w:r>
      <w:r w:rsidRPr="00957D1B">
        <w:rPr>
          <w:rFonts w:ascii="Garamond" w:hAnsi="Garamond"/>
          <w:sz w:val="24"/>
          <w:szCs w:val="24"/>
          <w:lang w:val="en-US"/>
        </w:rPr>
        <w:t xml:space="preserve">As a rule of thumb, </w:t>
      </w:r>
      <w:r w:rsidR="00B55033" w:rsidRPr="00957D1B">
        <w:rPr>
          <w:rFonts w:ascii="Garamond" w:hAnsi="Garamond"/>
          <w:sz w:val="24"/>
          <w:szCs w:val="24"/>
          <w:lang w:val="en-US"/>
        </w:rPr>
        <w:t>typical</w:t>
      </w:r>
      <w:r w:rsidRPr="00957D1B">
        <w:rPr>
          <w:rFonts w:ascii="Garamond" w:hAnsi="Garamond"/>
          <w:sz w:val="24"/>
          <w:szCs w:val="24"/>
          <w:lang w:val="en-US"/>
        </w:rPr>
        <w:t xml:space="preserve"> </w:t>
      </w:r>
      <w:r w:rsidR="007F6057" w:rsidRPr="00957D1B">
        <w:rPr>
          <w:rFonts w:ascii="Garamond" w:hAnsi="Garamond"/>
          <w:sz w:val="24"/>
          <w:szCs w:val="24"/>
          <w:lang w:val="en-US"/>
        </w:rPr>
        <w:t xml:space="preserve">maximum </w:t>
      </w:r>
      <w:r w:rsidRPr="00957D1B">
        <w:rPr>
          <w:rFonts w:ascii="Garamond" w:hAnsi="Garamond"/>
          <w:sz w:val="24"/>
          <w:szCs w:val="24"/>
          <w:lang w:val="en-US"/>
        </w:rPr>
        <w:t>lighting power densities for each type of space are as follows:</w:t>
      </w:r>
    </w:p>
    <w:p w14:paraId="1A0C3502" w14:textId="615A4CE4" w:rsidR="00B55033" w:rsidRPr="00957D1B" w:rsidRDefault="00B55033" w:rsidP="001C7B6C">
      <w:pPr>
        <w:pStyle w:val="ListParagraph"/>
        <w:ind w:left="18"/>
        <w:rPr>
          <w:rFonts w:ascii="Garamond" w:hAnsi="Garamond"/>
          <w:sz w:val="24"/>
          <w:szCs w:val="24"/>
        </w:rPr>
      </w:pPr>
    </w:p>
    <w:tbl>
      <w:tblPr>
        <w:tblStyle w:val="TableGrid"/>
        <w:tblW w:w="0" w:type="auto"/>
        <w:jc w:val="center"/>
        <w:tblLook w:val="04A0" w:firstRow="1" w:lastRow="0" w:firstColumn="1" w:lastColumn="0" w:noHBand="0" w:noVBand="1"/>
      </w:tblPr>
      <w:tblGrid>
        <w:gridCol w:w="3008"/>
        <w:gridCol w:w="1665"/>
        <w:gridCol w:w="3306"/>
        <w:gridCol w:w="2081"/>
      </w:tblGrid>
      <w:tr w:rsidR="00787932" w:rsidRPr="00957D1B" w14:paraId="25A8C457" w14:textId="77777777" w:rsidTr="003E3301">
        <w:trPr>
          <w:jc w:val="center"/>
        </w:trPr>
        <w:tc>
          <w:tcPr>
            <w:tcW w:w="3008" w:type="dxa"/>
          </w:tcPr>
          <w:p w14:paraId="65EACAF4" w14:textId="50BD0A8A" w:rsidR="00787932" w:rsidRPr="00B61954" w:rsidRDefault="00787932" w:rsidP="001C7B6C">
            <w:pPr>
              <w:pStyle w:val="ListParagraph"/>
              <w:spacing w:line="276" w:lineRule="auto"/>
              <w:ind w:left="0"/>
              <w:rPr>
                <w:rFonts w:ascii="Garamond" w:hAnsi="Garamond"/>
                <w:b/>
                <w:bCs/>
                <w:sz w:val="21"/>
                <w:szCs w:val="21"/>
              </w:rPr>
            </w:pPr>
            <w:r w:rsidRPr="00B61954">
              <w:rPr>
                <w:rFonts w:ascii="Garamond" w:hAnsi="Garamond"/>
                <w:b/>
                <w:bCs/>
                <w:sz w:val="21"/>
                <w:szCs w:val="21"/>
              </w:rPr>
              <w:t>Spaces</w:t>
            </w:r>
          </w:p>
        </w:tc>
        <w:tc>
          <w:tcPr>
            <w:tcW w:w="1665" w:type="dxa"/>
          </w:tcPr>
          <w:p w14:paraId="7B78EEDE" w14:textId="0C87AB0E" w:rsidR="00787932" w:rsidRPr="00B61954" w:rsidRDefault="00787932" w:rsidP="001C7B6C">
            <w:pPr>
              <w:pStyle w:val="ListParagraph"/>
              <w:spacing w:line="276" w:lineRule="auto"/>
              <w:ind w:left="0"/>
              <w:rPr>
                <w:rFonts w:ascii="Garamond" w:hAnsi="Garamond"/>
                <w:b/>
                <w:bCs/>
                <w:sz w:val="21"/>
                <w:szCs w:val="21"/>
              </w:rPr>
            </w:pPr>
            <w:r w:rsidRPr="00B61954">
              <w:rPr>
                <w:rFonts w:ascii="Garamond" w:hAnsi="Garamond"/>
                <w:b/>
                <w:bCs/>
                <w:sz w:val="21"/>
                <w:szCs w:val="21"/>
              </w:rPr>
              <w:t>Max Allowable Lighting Power Densities (Watts/m</w:t>
            </w:r>
            <w:r w:rsidRPr="00B61954">
              <w:rPr>
                <w:rFonts w:ascii="Garamond" w:hAnsi="Garamond"/>
                <w:b/>
                <w:bCs/>
                <w:sz w:val="21"/>
                <w:szCs w:val="21"/>
                <w:vertAlign w:val="superscript"/>
              </w:rPr>
              <w:t>2</w:t>
            </w:r>
            <w:r w:rsidRPr="00B61954">
              <w:rPr>
                <w:rFonts w:ascii="Garamond" w:hAnsi="Garamond"/>
                <w:b/>
                <w:bCs/>
                <w:sz w:val="21"/>
                <w:szCs w:val="21"/>
              </w:rPr>
              <w:t>)</w:t>
            </w:r>
          </w:p>
        </w:tc>
        <w:tc>
          <w:tcPr>
            <w:tcW w:w="3306" w:type="dxa"/>
          </w:tcPr>
          <w:p w14:paraId="26934D30" w14:textId="22EE5E15" w:rsidR="00787932" w:rsidRPr="00B61954" w:rsidRDefault="00787932" w:rsidP="001C7B6C">
            <w:pPr>
              <w:pStyle w:val="ListParagraph"/>
              <w:spacing w:line="276" w:lineRule="auto"/>
              <w:ind w:left="0"/>
              <w:rPr>
                <w:rFonts w:ascii="Garamond" w:hAnsi="Garamond"/>
                <w:b/>
                <w:bCs/>
                <w:sz w:val="21"/>
                <w:szCs w:val="21"/>
              </w:rPr>
            </w:pPr>
            <w:r w:rsidRPr="00B61954">
              <w:rPr>
                <w:rFonts w:ascii="Garamond" w:hAnsi="Garamond"/>
                <w:b/>
                <w:bCs/>
                <w:sz w:val="21"/>
                <w:szCs w:val="21"/>
              </w:rPr>
              <w:t>Possible Max Allowable Lighting Density (Watts/m</w:t>
            </w:r>
            <w:r w:rsidRPr="00B61954">
              <w:rPr>
                <w:rFonts w:ascii="Garamond" w:hAnsi="Garamond"/>
                <w:b/>
                <w:bCs/>
                <w:sz w:val="21"/>
                <w:szCs w:val="21"/>
                <w:vertAlign w:val="superscript"/>
              </w:rPr>
              <w:t>2</w:t>
            </w:r>
            <w:r w:rsidRPr="00B61954">
              <w:rPr>
                <w:rFonts w:ascii="Garamond" w:hAnsi="Garamond"/>
                <w:b/>
                <w:bCs/>
                <w:sz w:val="21"/>
                <w:szCs w:val="21"/>
              </w:rPr>
              <w:t xml:space="preserve">) </w:t>
            </w:r>
            <w:r w:rsidR="003E3301" w:rsidRPr="00B61954">
              <w:rPr>
                <w:rFonts w:ascii="Garamond" w:hAnsi="Garamond"/>
                <w:b/>
                <w:bCs/>
                <w:sz w:val="21"/>
                <w:szCs w:val="21"/>
              </w:rPr>
              <w:t>w</w:t>
            </w:r>
            <w:r w:rsidRPr="00B61954">
              <w:rPr>
                <w:rFonts w:ascii="Garamond" w:hAnsi="Garamond"/>
                <w:b/>
                <w:bCs/>
                <w:sz w:val="21"/>
                <w:szCs w:val="21"/>
              </w:rPr>
              <w:t xml:space="preserve">ith </w:t>
            </w:r>
            <w:r w:rsidR="003E3301" w:rsidRPr="00B61954">
              <w:rPr>
                <w:rFonts w:ascii="Garamond" w:hAnsi="Garamond"/>
                <w:b/>
                <w:bCs/>
                <w:sz w:val="21"/>
                <w:szCs w:val="21"/>
              </w:rPr>
              <w:t>a Top Lighting Design</w:t>
            </w:r>
          </w:p>
        </w:tc>
        <w:tc>
          <w:tcPr>
            <w:tcW w:w="2081" w:type="dxa"/>
          </w:tcPr>
          <w:p w14:paraId="6970C0FE" w14:textId="16611C9C" w:rsidR="00787932" w:rsidRPr="00B61954" w:rsidRDefault="00787932" w:rsidP="001C7B6C">
            <w:pPr>
              <w:pStyle w:val="ListParagraph"/>
              <w:spacing w:line="276" w:lineRule="auto"/>
              <w:ind w:left="0"/>
              <w:rPr>
                <w:rFonts w:ascii="Garamond" w:hAnsi="Garamond"/>
                <w:b/>
                <w:bCs/>
                <w:sz w:val="21"/>
                <w:szCs w:val="21"/>
              </w:rPr>
            </w:pPr>
            <w:r w:rsidRPr="00B61954">
              <w:rPr>
                <w:rFonts w:ascii="Garamond" w:hAnsi="Garamond"/>
                <w:b/>
                <w:bCs/>
                <w:sz w:val="21"/>
                <w:szCs w:val="21"/>
              </w:rPr>
              <w:t>Recommended Lux Levels</w:t>
            </w:r>
          </w:p>
        </w:tc>
      </w:tr>
      <w:tr w:rsidR="00787932" w:rsidRPr="00957D1B" w14:paraId="557F4E85" w14:textId="77777777" w:rsidTr="003E3301">
        <w:trPr>
          <w:jc w:val="center"/>
        </w:trPr>
        <w:tc>
          <w:tcPr>
            <w:tcW w:w="3008" w:type="dxa"/>
          </w:tcPr>
          <w:p w14:paraId="5680FEF1" w14:textId="29347805" w:rsidR="00787932" w:rsidRPr="00B61954" w:rsidRDefault="00787932" w:rsidP="001C7B6C">
            <w:pPr>
              <w:pStyle w:val="ListParagraph"/>
              <w:spacing w:line="276" w:lineRule="auto"/>
              <w:ind w:left="0"/>
              <w:rPr>
                <w:rFonts w:ascii="Garamond" w:hAnsi="Garamond"/>
                <w:sz w:val="21"/>
                <w:szCs w:val="21"/>
              </w:rPr>
            </w:pPr>
            <w:r w:rsidRPr="00B61954">
              <w:rPr>
                <w:rFonts w:ascii="Garamond" w:hAnsi="Garamond"/>
                <w:sz w:val="21"/>
                <w:szCs w:val="21"/>
              </w:rPr>
              <w:t>Office with T5 fluorescent lights (tube lighting)</w:t>
            </w:r>
          </w:p>
        </w:tc>
        <w:tc>
          <w:tcPr>
            <w:tcW w:w="1665" w:type="dxa"/>
          </w:tcPr>
          <w:p w14:paraId="2DC14C60" w14:textId="27889864"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10</w:t>
            </w:r>
          </w:p>
        </w:tc>
        <w:tc>
          <w:tcPr>
            <w:tcW w:w="3306" w:type="dxa"/>
          </w:tcPr>
          <w:p w14:paraId="6403F1AF" w14:textId="2B36FFB7" w:rsidR="00787932" w:rsidRPr="00B61954" w:rsidRDefault="00D924D1" w:rsidP="001C7B6C">
            <w:pPr>
              <w:pStyle w:val="ListParagraph"/>
              <w:spacing w:line="276" w:lineRule="auto"/>
              <w:ind w:left="0"/>
              <w:jc w:val="center"/>
              <w:rPr>
                <w:rFonts w:ascii="Garamond" w:hAnsi="Garamond"/>
                <w:sz w:val="21"/>
                <w:szCs w:val="21"/>
              </w:rPr>
            </w:pPr>
            <w:r w:rsidRPr="00B61954">
              <w:rPr>
                <w:rFonts w:ascii="Garamond" w:hAnsi="Garamond"/>
                <w:sz w:val="21"/>
                <w:szCs w:val="21"/>
              </w:rPr>
              <w:t>7</w:t>
            </w:r>
          </w:p>
        </w:tc>
        <w:tc>
          <w:tcPr>
            <w:tcW w:w="2081" w:type="dxa"/>
          </w:tcPr>
          <w:p w14:paraId="6B9BDD22" w14:textId="7C04ECF8"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 xml:space="preserve">300 – 500 </w:t>
            </w:r>
          </w:p>
        </w:tc>
      </w:tr>
      <w:tr w:rsidR="00787932" w:rsidRPr="00957D1B" w14:paraId="6609B61A" w14:textId="77777777" w:rsidTr="003E3301">
        <w:trPr>
          <w:jc w:val="center"/>
        </w:trPr>
        <w:tc>
          <w:tcPr>
            <w:tcW w:w="3008" w:type="dxa"/>
          </w:tcPr>
          <w:p w14:paraId="0FF4372F" w14:textId="55BC3D33" w:rsidR="00787932" w:rsidRPr="00B61954" w:rsidRDefault="00787932" w:rsidP="001C7B6C">
            <w:pPr>
              <w:pStyle w:val="ListParagraph"/>
              <w:spacing w:line="276" w:lineRule="auto"/>
              <w:ind w:left="0"/>
              <w:rPr>
                <w:rFonts w:ascii="Garamond" w:hAnsi="Garamond"/>
                <w:sz w:val="21"/>
                <w:szCs w:val="21"/>
                <w:lang w:val="en-US"/>
              </w:rPr>
            </w:pPr>
            <w:r w:rsidRPr="00B61954">
              <w:rPr>
                <w:rFonts w:ascii="Garamond" w:hAnsi="Garamond"/>
                <w:sz w:val="21"/>
                <w:szCs w:val="21"/>
                <w:lang w:val="en-US"/>
              </w:rPr>
              <w:t>Office with LED lighting</w:t>
            </w:r>
          </w:p>
        </w:tc>
        <w:tc>
          <w:tcPr>
            <w:tcW w:w="1665" w:type="dxa"/>
          </w:tcPr>
          <w:p w14:paraId="26F5CB03" w14:textId="3E4B07F3"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6</w:t>
            </w:r>
          </w:p>
        </w:tc>
        <w:tc>
          <w:tcPr>
            <w:tcW w:w="3306" w:type="dxa"/>
          </w:tcPr>
          <w:p w14:paraId="067039CD" w14:textId="33856915" w:rsidR="00787932" w:rsidRPr="00B61954" w:rsidRDefault="00D924D1" w:rsidP="001C7B6C">
            <w:pPr>
              <w:pStyle w:val="ListParagraph"/>
              <w:spacing w:line="276" w:lineRule="auto"/>
              <w:ind w:left="0"/>
              <w:jc w:val="center"/>
              <w:rPr>
                <w:rFonts w:ascii="Garamond" w:hAnsi="Garamond"/>
                <w:sz w:val="21"/>
                <w:szCs w:val="21"/>
              </w:rPr>
            </w:pPr>
            <w:r w:rsidRPr="00B61954">
              <w:rPr>
                <w:rFonts w:ascii="Garamond" w:hAnsi="Garamond"/>
                <w:sz w:val="21"/>
                <w:szCs w:val="21"/>
              </w:rPr>
              <w:t>3.5</w:t>
            </w:r>
          </w:p>
        </w:tc>
        <w:tc>
          <w:tcPr>
            <w:tcW w:w="2081" w:type="dxa"/>
          </w:tcPr>
          <w:p w14:paraId="3E79E9C3" w14:textId="065BAFB4"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 xml:space="preserve">300 – 500 </w:t>
            </w:r>
          </w:p>
        </w:tc>
      </w:tr>
      <w:tr w:rsidR="00787932" w:rsidRPr="00957D1B" w14:paraId="68B89B00" w14:textId="77777777" w:rsidTr="003E3301">
        <w:trPr>
          <w:jc w:val="center"/>
        </w:trPr>
        <w:tc>
          <w:tcPr>
            <w:tcW w:w="3008" w:type="dxa"/>
          </w:tcPr>
          <w:p w14:paraId="1D9C029A" w14:textId="0ACCAD4A" w:rsidR="00787932" w:rsidRPr="00B61954" w:rsidRDefault="00787932" w:rsidP="001C7B6C">
            <w:pPr>
              <w:pStyle w:val="ListParagraph"/>
              <w:spacing w:line="276" w:lineRule="auto"/>
              <w:ind w:left="0"/>
              <w:rPr>
                <w:rFonts w:ascii="Garamond" w:hAnsi="Garamond"/>
                <w:sz w:val="21"/>
                <w:szCs w:val="21"/>
              </w:rPr>
            </w:pPr>
            <w:r w:rsidRPr="00B61954">
              <w:rPr>
                <w:rFonts w:ascii="Garamond" w:hAnsi="Garamond"/>
                <w:sz w:val="21"/>
                <w:szCs w:val="21"/>
              </w:rPr>
              <w:t>Corridors</w:t>
            </w:r>
          </w:p>
        </w:tc>
        <w:tc>
          <w:tcPr>
            <w:tcW w:w="1665" w:type="dxa"/>
          </w:tcPr>
          <w:p w14:paraId="051C8ACA" w14:textId="5F7CC406"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5</w:t>
            </w:r>
          </w:p>
        </w:tc>
        <w:tc>
          <w:tcPr>
            <w:tcW w:w="3306" w:type="dxa"/>
          </w:tcPr>
          <w:p w14:paraId="5B781709" w14:textId="67939520" w:rsidR="00787932" w:rsidRPr="00B61954" w:rsidRDefault="00D924D1" w:rsidP="001C7B6C">
            <w:pPr>
              <w:pStyle w:val="ListParagraph"/>
              <w:spacing w:line="276" w:lineRule="auto"/>
              <w:ind w:left="0"/>
              <w:jc w:val="center"/>
              <w:rPr>
                <w:rFonts w:ascii="Garamond" w:hAnsi="Garamond"/>
                <w:sz w:val="21"/>
                <w:szCs w:val="21"/>
              </w:rPr>
            </w:pPr>
            <w:r w:rsidRPr="00B61954">
              <w:rPr>
                <w:rFonts w:ascii="Garamond" w:hAnsi="Garamond"/>
                <w:sz w:val="21"/>
                <w:szCs w:val="21"/>
              </w:rPr>
              <w:t>2.5</w:t>
            </w:r>
          </w:p>
        </w:tc>
        <w:tc>
          <w:tcPr>
            <w:tcW w:w="2081" w:type="dxa"/>
          </w:tcPr>
          <w:p w14:paraId="33052DBE" w14:textId="1A6623CC"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100 – 200</w:t>
            </w:r>
          </w:p>
        </w:tc>
      </w:tr>
      <w:tr w:rsidR="00787932" w:rsidRPr="00957D1B" w14:paraId="3B013F1A" w14:textId="77777777" w:rsidTr="003E3301">
        <w:trPr>
          <w:jc w:val="center"/>
        </w:trPr>
        <w:tc>
          <w:tcPr>
            <w:tcW w:w="3008" w:type="dxa"/>
          </w:tcPr>
          <w:p w14:paraId="0D1F4C0F" w14:textId="3C1EEAA5" w:rsidR="00787932" w:rsidRPr="00B61954" w:rsidRDefault="00787932" w:rsidP="001C7B6C">
            <w:pPr>
              <w:pStyle w:val="ListParagraph"/>
              <w:spacing w:line="276" w:lineRule="auto"/>
              <w:ind w:left="0"/>
              <w:rPr>
                <w:rFonts w:ascii="Garamond" w:hAnsi="Garamond"/>
                <w:sz w:val="21"/>
                <w:szCs w:val="21"/>
              </w:rPr>
            </w:pPr>
            <w:r w:rsidRPr="00B61954">
              <w:rPr>
                <w:rFonts w:ascii="Garamond" w:hAnsi="Garamond"/>
                <w:sz w:val="21"/>
                <w:szCs w:val="21"/>
              </w:rPr>
              <w:t xml:space="preserve">Bathroom </w:t>
            </w:r>
          </w:p>
        </w:tc>
        <w:tc>
          <w:tcPr>
            <w:tcW w:w="1665" w:type="dxa"/>
          </w:tcPr>
          <w:p w14:paraId="04B59500" w14:textId="507916B6"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5</w:t>
            </w:r>
          </w:p>
        </w:tc>
        <w:tc>
          <w:tcPr>
            <w:tcW w:w="3306" w:type="dxa"/>
          </w:tcPr>
          <w:p w14:paraId="2D86A00E" w14:textId="63A44482" w:rsidR="00787932" w:rsidRPr="00B61954" w:rsidRDefault="00D924D1" w:rsidP="001C7B6C">
            <w:pPr>
              <w:pStyle w:val="ListParagraph"/>
              <w:spacing w:line="276" w:lineRule="auto"/>
              <w:ind w:left="0"/>
              <w:jc w:val="center"/>
              <w:rPr>
                <w:rFonts w:ascii="Garamond" w:hAnsi="Garamond"/>
                <w:sz w:val="21"/>
                <w:szCs w:val="21"/>
              </w:rPr>
            </w:pPr>
            <w:r w:rsidRPr="00B61954">
              <w:rPr>
                <w:rFonts w:ascii="Garamond" w:hAnsi="Garamond"/>
                <w:sz w:val="21"/>
                <w:szCs w:val="21"/>
              </w:rPr>
              <w:t>2.5</w:t>
            </w:r>
          </w:p>
        </w:tc>
        <w:tc>
          <w:tcPr>
            <w:tcW w:w="2081" w:type="dxa"/>
          </w:tcPr>
          <w:p w14:paraId="4521C14B" w14:textId="29188A84" w:rsidR="00787932" w:rsidRPr="00B61954" w:rsidRDefault="00787932" w:rsidP="001C7B6C">
            <w:pPr>
              <w:pStyle w:val="ListParagraph"/>
              <w:spacing w:line="276" w:lineRule="auto"/>
              <w:ind w:left="0"/>
              <w:jc w:val="center"/>
              <w:rPr>
                <w:rFonts w:ascii="Garamond" w:hAnsi="Garamond"/>
                <w:sz w:val="21"/>
                <w:szCs w:val="21"/>
              </w:rPr>
            </w:pPr>
            <w:r w:rsidRPr="00B61954">
              <w:rPr>
                <w:rFonts w:ascii="Garamond" w:hAnsi="Garamond"/>
                <w:sz w:val="21"/>
                <w:szCs w:val="21"/>
              </w:rPr>
              <w:t xml:space="preserve">100 – 200 </w:t>
            </w:r>
          </w:p>
        </w:tc>
      </w:tr>
    </w:tbl>
    <w:p w14:paraId="6044A563" w14:textId="77777777" w:rsidR="00B55033" w:rsidRPr="00957D1B" w:rsidRDefault="00B55033" w:rsidP="001C7B6C">
      <w:pPr>
        <w:pStyle w:val="ListParagraph"/>
        <w:ind w:left="18"/>
        <w:rPr>
          <w:rFonts w:ascii="Garamond" w:hAnsi="Garamond"/>
          <w:sz w:val="4"/>
          <w:szCs w:val="4"/>
        </w:rPr>
      </w:pPr>
    </w:p>
    <w:p w14:paraId="6A75043E" w14:textId="7D55D890" w:rsidR="00094550" w:rsidRPr="00957D1B" w:rsidRDefault="00094550" w:rsidP="001C7B6C">
      <w:pPr>
        <w:rPr>
          <w:rFonts w:ascii="Garamond" w:hAnsi="Garamond"/>
          <w:sz w:val="24"/>
          <w:szCs w:val="28"/>
          <w:lang w:val="en-US"/>
        </w:rPr>
      </w:pPr>
      <w:r w:rsidRPr="00957D1B">
        <w:rPr>
          <w:rFonts w:ascii="Garamond" w:hAnsi="Garamond"/>
          <w:sz w:val="24"/>
          <w:szCs w:val="28"/>
          <w:lang w:val="en-US"/>
        </w:rPr>
        <w:lastRenderedPageBreak/>
        <w:t xml:space="preserve">The following </w:t>
      </w:r>
      <w:r w:rsidRPr="00B61954">
        <w:rPr>
          <w:rFonts w:ascii="Garamond" w:hAnsi="Garamond"/>
          <w:sz w:val="24"/>
          <w:szCs w:val="28"/>
          <w:lang w:val="en-US"/>
        </w:rPr>
        <w:t>recommendations</w:t>
      </w:r>
      <w:r w:rsidRPr="00957D1B">
        <w:rPr>
          <w:rFonts w:ascii="Garamond" w:hAnsi="Garamond"/>
          <w:sz w:val="24"/>
          <w:szCs w:val="28"/>
          <w:lang w:val="en-US"/>
        </w:rPr>
        <w:t xml:space="preserve"> on lighting </w:t>
      </w:r>
      <w:r w:rsidR="00D41E70" w:rsidRPr="00957D1B">
        <w:rPr>
          <w:rFonts w:ascii="Garamond" w:hAnsi="Garamond"/>
          <w:sz w:val="24"/>
          <w:szCs w:val="28"/>
          <w:lang w:val="en-US"/>
        </w:rPr>
        <w:t>are</w:t>
      </w:r>
      <w:r w:rsidRPr="00957D1B">
        <w:rPr>
          <w:rFonts w:ascii="Garamond" w:hAnsi="Garamond"/>
          <w:sz w:val="24"/>
          <w:szCs w:val="28"/>
          <w:lang w:val="en-US"/>
        </w:rPr>
        <w:t xml:space="preserve"> </w:t>
      </w:r>
      <w:r w:rsidR="007F6057" w:rsidRPr="00957D1B">
        <w:rPr>
          <w:rFonts w:ascii="Garamond" w:hAnsi="Garamond"/>
          <w:sz w:val="24"/>
          <w:szCs w:val="28"/>
          <w:lang w:val="en-US"/>
        </w:rPr>
        <w:t>provided:</w:t>
      </w:r>
    </w:p>
    <w:p w14:paraId="23546E58" w14:textId="20552523" w:rsidR="007F6057" w:rsidRPr="00957D1B" w:rsidRDefault="007F6057"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Install LED lamps with a minimum of 100 Lux to a maximum 200 Lux, which can even be achieved using lamps that distribute less than 3 Watts/m</w:t>
      </w:r>
      <w:r w:rsidRPr="00957D1B">
        <w:rPr>
          <w:rFonts w:ascii="Garamond" w:hAnsi="Garamond"/>
          <w:sz w:val="24"/>
          <w:szCs w:val="24"/>
          <w:vertAlign w:val="superscript"/>
          <w:lang w:val="en-US"/>
        </w:rPr>
        <w:t>2</w:t>
      </w:r>
      <w:r w:rsidRPr="00957D1B">
        <w:rPr>
          <w:rFonts w:ascii="Garamond" w:hAnsi="Garamond"/>
          <w:sz w:val="24"/>
          <w:szCs w:val="24"/>
          <w:lang w:val="en-US"/>
        </w:rPr>
        <w:t xml:space="preserve"> of floor area</w:t>
      </w:r>
      <w:r w:rsidR="0080734A">
        <w:rPr>
          <w:rFonts w:ascii="Garamond" w:hAnsi="Garamond"/>
          <w:sz w:val="24"/>
          <w:szCs w:val="24"/>
          <w:lang w:val="en-US"/>
        </w:rPr>
        <w:t>.</w:t>
      </w:r>
    </w:p>
    <w:p w14:paraId="0547EC61" w14:textId="2B68427C" w:rsidR="007F6057" w:rsidRPr="00957D1B" w:rsidRDefault="007F6057"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Replace</w:t>
      </w:r>
      <w:r w:rsidR="00B224E9" w:rsidRPr="00957D1B">
        <w:rPr>
          <w:rFonts w:ascii="Garamond" w:hAnsi="Garamond"/>
          <w:sz w:val="24"/>
          <w:szCs w:val="24"/>
          <w:lang w:val="en-US"/>
        </w:rPr>
        <w:t xml:space="preserve"> any</w:t>
      </w:r>
      <w:r w:rsidRPr="00957D1B">
        <w:rPr>
          <w:rFonts w:ascii="Garamond" w:hAnsi="Garamond"/>
          <w:sz w:val="24"/>
          <w:szCs w:val="24"/>
          <w:lang w:val="en-US"/>
        </w:rPr>
        <w:t xml:space="preserve"> halogen lighting across the building</w:t>
      </w:r>
      <w:r w:rsidR="00B224E9" w:rsidRPr="00957D1B">
        <w:rPr>
          <w:rFonts w:ascii="Garamond" w:hAnsi="Garamond"/>
          <w:sz w:val="24"/>
          <w:szCs w:val="24"/>
          <w:lang w:val="en-US"/>
        </w:rPr>
        <w:t>, compound and car park</w:t>
      </w:r>
      <w:r w:rsidRPr="00957D1B">
        <w:rPr>
          <w:rFonts w:ascii="Garamond" w:hAnsi="Garamond"/>
          <w:sz w:val="24"/>
          <w:szCs w:val="24"/>
          <w:lang w:val="en-US"/>
        </w:rPr>
        <w:t xml:space="preserve">, with more energy efficient LED lights immediately. Typically, a 4 Watts LED will replace an 18 Watts halogen bulb. </w:t>
      </w:r>
    </w:p>
    <w:p w14:paraId="6E3A3DD0" w14:textId="209838B0" w:rsidR="007C5B19" w:rsidRPr="00957D1B" w:rsidRDefault="007F6057"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Install daylight sensors in the lobby to ensure that lights turn off when daylight is available</w:t>
      </w:r>
      <w:r w:rsidR="00787932" w:rsidRPr="00957D1B">
        <w:rPr>
          <w:rFonts w:ascii="Garamond" w:hAnsi="Garamond"/>
          <w:sz w:val="24"/>
          <w:szCs w:val="24"/>
          <w:lang w:val="en-US"/>
        </w:rPr>
        <w:t>, and switch off lights elsewhere where daylight levels are adequate.</w:t>
      </w:r>
    </w:p>
    <w:p w14:paraId="627BFE1E" w14:textId="0F91F5EE" w:rsidR="00031559" w:rsidRPr="00957D1B" w:rsidRDefault="00031559"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 xml:space="preserve">Retire any compound lighting in use, that does not include the LED flood lights currently efficient enough alone. </w:t>
      </w:r>
    </w:p>
    <w:p w14:paraId="3B3380F0" w14:textId="76AA09B5" w:rsidR="00E67AF0" w:rsidRPr="00957D1B" w:rsidRDefault="00CB0DE0"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 xml:space="preserve">In </w:t>
      </w:r>
      <w:r w:rsidR="0080734A">
        <w:rPr>
          <w:rFonts w:ascii="Garamond" w:hAnsi="Garamond"/>
          <w:sz w:val="24"/>
          <w:szCs w:val="24"/>
          <w:lang w:val="en-US"/>
        </w:rPr>
        <w:t xml:space="preserve">narrow </w:t>
      </w:r>
      <w:r w:rsidRPr="00957D1B">
        <w:rPr>
          <w:rFonts w:ascii="Garamond" w:hAnsi="Garamond"/>
          <w:sz w:val="24"/>
          <w:szCs w:val="24"/>
          <w:lang w:val="en-US"/>
        </w:rPr>
        <w:t>corridors</w:t>
      </w:r>
      <w:r w:rsidR="0080734A">
        <w:rPr>
          <w:rFonts w:ascii="Garamond" w:hAnsi="Garamond"/>
          <w:sz w:val="24"/>
          <w:szCs w:val="24"/>
          <w:lang w:val="en-US"/>
        </w:rPr>
        <w:t xml:space="preserve"> </w:t>
      </w:r>
      <w:r w:rsidRPr="00957D1B">
        <w:rPr>
          <w:rFonts w:ascii="Garamond" w:hAnsi="Garamond"/>
          <w:sz w:val="24"/>
          <w:szCs w:val="24"/>
          <w:lang w:val="en-US"/>
        </w:rPr>
        <w:t xml:space="preserve">use low LED panel wattages and have more units to </w:t>
      </w:r>
      <w:r w:rsidR="00E67AF0" w:rsidRPr="00957D1B">
        <w:rPr>
          <w:rFonts w:ascii="Garamond" w:hAnsi="Garamond"/>
          <w:sz w:val="24"/>
          <w:szCs w:val="24"/>
          <w:lang w:val="en-US"/>
        </w:rPr>
        <w:t>ensure even light distribution.</w:t>
      </w:r>
    </w:p>
    <w:p w14:paraId="6D946AD9" w14:textId="74436840" w:rsidR="00CB0DE0" w:rsidRPr="00957D1B" w:rsidRDefault="00B224E9" w:rsidP="001C7B6C">
      <w:pPr>
        <w:pStyle w:val="ListParagraph"/>
        <w:numPr>
          <w:ilvl w:val="0"/>
          <w:numId w:val="35"/>
        </w:numPr>
        <w:rPr>
          <w:rFonts w:ascii="Garamond" w:hAnsi="Garamond"/>
          <w:sz w:val="24"/>
          <w:szCs w:val="24"/>
          <w:lang w:val="en-US"/>
        </w:rPr>
      </w:pPr>
      <w:r w:rsidRPr="00957D1B">
        <w:rPr>
          <w:rFonts w:ascii="Garamond" w:hAnsi="Garamond"/>
          <w:sz w:val="24"/>
          <w:szCs w:val="24"/>
          <w:lang w:val="en-US"/>
        </w:rPr>
        <w:t xml:space="preserve">Install a motion sensor for corridor lighting and a small energy efficient plug-in for nighttime safety and security. </w:t>
      </w:r>
    </w:p>
    <w:p w14:paraId="642FC12F" w14:textId="08764CD5" w:rsidR="003B4744" w:rsidRPr="00957D1B" w:rsidRDefault="003B4744" w:rsidP="001C7B6C">
      <w:pPr>
        <w:rPr>
          <w:rFonts w:ascii="Garamond" w:hAnsi="Garamond"/>
          <w:sz w:val="24"/>
          <w:u w:val="single"/>
          <w:lang w:val="en-GB"/>
        </w:rPr>
      </w:pPr>
      <w:r w:rsidRPr="00957D1B">
        <w:rPr>
          <w:rFonts w:ascii="Garamond" w:hAnsi="Garamond"/>
          <w:sz w:val="24"/>
          <w:u w:val="single"/>
          <w:lang w:val="en-GB"/>
        </w:rPr>
        <w:t>Plug and load efficiency</w:t>
      </w:r>
    </w:p>
    <w:p w14:paraId="134F49CD" w14:textId="36AB5869" w:rsidR="00886F04" w:rsidRPr="00957D1B" w:rsidRDefault="00886F04" w:rsidP="001C7B6C">
      <w:pPr>
        <w:rPr>
          <w:rFonts w:ascii="Garamond" w:hAnsi="Garamond"/>
          <w:sz w:val="24"/>
          <w:szCs w:val="28"/>
          <w:lang w:val="en-US"/>
        </w:rPr>
      </w:pPr>
      <w:r w:rsidRPr="00957D1B">
        <w:rPr>
          <w:rFonts w:ascii="Garamond" w:hAnsi="Garamond"/>
          <w:sz w:val="24"/>
          <w:szCs w:val="28"/>
          <w:lang w:val="en-US"/>
        </w:rPr>
        <w:t>The plug load comes from any device that is plugged into a building’s electrical system, including computers, monitors and office electronics.</w:t>
      </w:r>
      <w:r w:rsidR="00AF0DD0" w:rsidRPr="00957D1B">
        <w:rPr>
          <w:rFonts w:ascii="Garamond" w:hAnsi="Garamond"/>
          <w:sz w:val="24"/>
          <w:szCs w:val="28"/>
          <w:lang w:val="en-US"/>
        </w:rPr>
        <w:t xml:space="preserve"> </w:t>
      </w:r>
      <w:r w:rsidRPr="00957D1B">
        <w:rPr>
          <w:rFonts w:ascii="Garamond" w:hAnsi="Garamond"/>
          <w:sz w:val="24"/>
          <w:szCs w:val="28"/>
          <w:lang w:val="en-US"/>
        </w:rPr>
        <w:t xml:space="preserve">The following </w:t>
      </w:r>
      <w:r w:rsidRPr="00BC2CA5">
        <w:rPr>
          <w:rFonts w:ascii="Garamond" w:hAnsi="Garamond"/>
          <w:sz w:val="24"/>
          <w:szCs w:val="28"/>
          <w:lang w:val="en-US"/>
        </w:rPr>
        <w:t xml:space="preserve">recommendations </w:t>
      </w:r>
      <w:r w:rsidRPr="00957D1B">
        <w:rPr>
          <w:rFonts w:ascii="Garamond" w:hAnsi="Garamond"/>
          <w:sz w:val="24"/>
          <w:szCs w:val="28"/>
          <w:lang w:val="en-US"/>
        </w:rPr>
        <w:t xml:space="preserve">on plug and load efficiency </w:t>
      </w:r>
      <w:r w:rsidR="00D41E70" w:rsidRPr="00957D1B">
        <w:rPr>
          <w:rFonts w:ascii="Garamond" w:hAnsi="Garamond"/>
          <w:sz w:val="24"/>
          <w:szCs w:val="28"/>
          <w:lang w:val="en-US"/>
        </w:rPr>
        <w:t>are</w:t>
      </w:r>
      <w:r w:rsidRPr="00957D1B">
        <w:rPr>
          <w:rFonts w:ascii="Garamond" w:hAnsi="Garamond"/>
          <w:sz w:val="24"/>
          <w:szCs w:val="28"/>
          <w:lang w:val="en-US"/>
        </w:rPr>
        <w:t xml:space="preserve"> provided:</w:t>
      </w:r>
    </w:p>
    <w:p w14:paraId="56F87791" w14:textId="1A0ACB12" w:rsidR="00886F04" w:rsidRPr="00957D1B" w:rsidRDefault="00214F1C" w:rsidP="001C7B6C">
      <w:pPr>
        <w:pStyle w:val="ListParagraph"/>
        <w:numPr>
          <w:ilvl w:val="0"/>
          <w:numId w:val="36"/>
        </w:numPr>
        <w:rPr>
          <w:rFonts w:ascii="Garamond" w:hAnsi="Garamond"/>
          <w:sz w:val="24"/>
          <w:szCs w:val="24"/>
          <w:lang w:val="en-US"/>
        </w:rPr>
      </w:pPr>
      <w:r w:rsidRPr="00957D1B">
        <w:rPr>
          <w:rFonts w:ascii="Garamond" w:hAnsi="Garamond"/>
          <w:sz w:val="24"/>
          <w:szCs w:val="24"/>
          <w:lang w:val="en-US"/>
        </w:rPr>
        <w:t xml:space="preserve">Develop a purchasing guide to support the purchase of only EnergyStar rated IT equipment, including the data server. </w:t>
      </w:r>
    </w:p>
    <w:p w14:paraId="2B1D2EC2" w14:textId="052189E9" w:rsidR="00214F1C" w:rsidRPr="00957D1B" w:rsidRDefault="00214F1C" w:rsidP="001C7B6C">
      <w:pPr>
        <w:pStyle w:val="ListParagraph"/>
        <w:numPr>
          <w:ilvl w:val="0"/>
          <w:numId w:val="36"/>
        </w:numPr>
        <w:rPr>
          <w:rFonts w:ascii="Garamond" w:hAnsi="Garamond"/>
          <w:sz w:val="24"/>
          <w:szCs w:val="24"/>
          <w:lang w:val="en-US"/>
        </w:rPr>
      </w:pPr>
      <w:r w:rsidRPr="00957D1B">
        <w:rPr>
          <w:rFonts w:ascii="Garamond" w:hAnsi="Garamond"/>
          <w:sz w:val="24"/>
          <w:szCs w:val="24"/>
          <w:lang w:val="en-US"/>
        </w:rPr>
        <w:t xml:space="preserve">Enable more stringent power management settings, as screensavers can keep your monitor in active mode and stop your computer from entering an energy-saving mode. </w:t>
      </w:r>
      <w:r w:rsidR="0009114F" w:rsidRPr="00957D1B">
        <w:rPr>
          <w:rFonts w:ascii="Garamond" w:hAnsi="Garamond"/>
          <w:sz w:val="24"/>
          <w:szCs w:val="24"/>
          <w:lang w:val="en-US"/>
        </w:rPr>
        <w:t xml:space="preserve">EnergyStar recommends setting monitors to sleep after 5 – 20 minutes of inactivity. </w:t>
      </w:r>
    </w:p>
    <w:p w14:paraId="72B45315" w14:textId="0E1DA394" w:rsidR="0009114F" w:rsidRPr="00957D1B" w:rsidRDefault="0009114F" w:rsidP="001C7B6C">
      <w:pPr>
        <w:pStyle w:val="ListParagraph"/>
        <w:numPr>
          <w:ilvl w:val="0"/>
          <w:numId w:val="36"/>
        </w:numPr>
        <w:rPr>
          <w:rFonts w:ascii="Garamond" w:hAnsi="Garamond"/>
          <w:sz w:val="24"/>
          <w:szCs w:val="24"/>
          <w:lang w:val="en-US"/>
        </w:rPr>
      </w:pPr>
      <w:r w:rsidRPr="00957D1B">
        <w:rPr>
          <w:rFonts w:ascii="Garamond" w:hAnsi="Garamond"/>
          <w:sz w:val="24"/>
          <w:szCs w:val="24"/>
          <w:lang w:val="en-US"/>
        </w:rPr>
        <w:t xml:space="preserve">Face screens away from sunlight and reflections to improve performance and glare reduction. The brighter the ambient room lighting, the brighter the screen needs to be and more energy is used. </w:t>
      </w:r>
    </w:p>
    <w:p w14:paraId="221924C2" w14:textId="6E16E611" w:rsidR="0009114F" w:rsidRPr="00957D1B" w:rsidRDefault="0009114F" w:rsidP="001C7B6C">
      <w:pPr>
        <w:pStyle w:val="ListParagraph"/>
        <w:numPr>
          <w:ilvl w:val="0"/>
          <w:numId w:val="36"/>
        </w:numPr>
        <w:rPr>
          <w:rFonts w:ascii="Garamond" w:hAnsi="Garamond"/>
          <w:sz w:val="24"/>
          <w:szCs w:val="24"/>
          <w:lang w:val="en-US"/>
        </w:rPr>
      </w:pPr>
      <w:r w:rsidRPr="00957D1B">
        <w:rPr>
          <w:rFonts w:ascii="Garamond" w:hAnsi="Garamond"/>
          <w:sz w:val="24"/>
          <w:szCs w:val="24"/>
          <w:lang w:val="en-US"/>
        </w:rPr>
        <w:t xml:space="preserve">Install low-power digital timers to turn off equipment during non-business hours. EnergyStar recommends setting equipment to sleep after 30 – 60 minutes of inactivity. </w:t>
      </w:r>
    </w:p>
    <w:p w14:paraId="4F9D3527" w14:textId="6E89EB29"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 xml:space="preserve">Air conditioning </w:t>
      </w:r>
    </w:p>
    <w:p w14:paraId="6805C69B" w14:textId="361BB669" w:rsidR="00D41E70" w:rsidRPr="00957D1B" w:rsidRDefault="00C6522A" w:rsidP="001C7B6C">
      <w:pPr>
        <w:rPr>
          <w:rFonts w:ascii="Garamond" w:hAnsi="Garamond"/>
          <w:sz w:val="24"/>
          <w:szCs w:val="28"/>
          <w:lang w:val="en-US"/>
        </w:rPr>
      </w:pPr>
      <w:r w:rsidRPr="00957D1B">
        <w:rPr>
          <w:rFonts w:ascii="Garamond" w:hAnsi="Garamond"/>
          <w:sz w:val="24"/>
          <w:szCs w:val="28"/>
          <w:lang w:val="en-US"/>
        </w:rPr>
        <w:t xml:space="preserve">The air conditioners at UNDP, Amman, are split-unit types in the form of older non-inverter split air conditioning units. Many of these units are of reversible air conditioning, producing both cooling and heating. However, inverter-type units are beneficial for controlling and continuously regulating the temperature, and generally have increased efficiency compared to traditional air conditioners. </w:t>
      </w:r>
      <w:r w:rsidR="00D41E70" w:rsidRPr="00957D1B">
        <w:rPr>
          <w:rFonts w:ascii="Garamond" w:hAnsi="Garamond"/>
          <w:sz w:val="24"/>
          <w:szCs w:val="28"/>
          <w:lang w:val="en-US"/>
        </w:rPr>
        <w:t xml:space="preserve">The following </w:t>
      </w:r>
      <w:r w:rsidR="00D41E70" w:rsidRPr="00BC2CA5">
        <w:rPr>
          <w:rFonts w:ascii="Garamond" w:hAnsi="Garamond"/>
          <w:sz w:val="24"/>
          <w:szCs w:val="28"/>
          <w:lang w:val="en-US"/>
        </w:rPr>
        <w:t>r</w:t>
      </w:r>
      <w:r w:rsidR="00D41E70" w:rsidRPr="00957D1B">
        <w:rPr>
          <w:rFonts w:ascii="Garamond" w:hAnsi="Garamond"/>
          <w:i/>
          <w:iCs/>
          <w:sz w:val="24"/>
          <w:szCs w:val="28"/>
          <w:lang w:val="en-US"/>
        </w:rPr>
        <w:t xml:space="preserve">ecommendation </w:t>
      </w:r>
      <w:r w:rsidR="00D41E70" w:rsidRPr="00957D1B">
        <w:rPr>
          <w:rFonts w:ascii="Garamond" w:hAnsi="Garamond"/>
          <w:sz w:val="24"/>
          <w:szCs w:val="28"/>
          <w:lang w:val="en-US"/>
        </w:rPr>
        <w:t>on air conditioning is provided:</w:t>
      </w:r>
    </w:p>
    <w:p w14:paraId="6D3752CD" w14:textId="5903570F" w:rsidR="00D41E70" w:rsidRPr="00957D1B" w:rsidRDefault="006E43C5" w:rsidP="001C7B6C">
      <w:pPr>
        <w:pStyle w:val="ListParagraph"/>
        <w:numPr>
          <w:ilvl w:val="0"/>
          <w:numId w:val="38"/>
        </w:numPr>
        <w:rPr>
          <w:rFonts w:ascii="Garamond" w:hAnsi="Garamond"/>
          <w:sz w:val="24"/>
          <w:szCs w:val="24"/>
          <w:lang w:val="en-US"/>
        </w:rPr>
      </w:pPr>
      <w:r w:rsidRPr="00957D1B">
        <w:rPr>
          <w:rFonts w:ascii="Garamond" w:hAnsi="Garamond"/>
          <w:sz w:val="24"/>
          <w:szCs w:val="24"/>
          <w:lang w:val="en-US"/>
        </w:rPr>
        <w:t>Replace the older, traditional split units that have reached (or near) their lifespan with inverter-type units, by implementing a policy to improve the coefficient of performance of building-wide air conditioning.</w:t>
      </w:r>
    </w:p>
    <w:p w14:paraId="32D4787C" w14:textId="14958D5B" w:rsidR="007C38ED" w:rsidRPr="00957D1B" w:rsidRDefault="007C38ED" w:rsidP="001C7B6C">
      <w:pPr>
        <w:rPr>
          <w:rFonts w:ascii="Garamond" w:hAnsi="Garamond"/>
          <w:sz w:val="24"/>
          <w:szCs w:val="28"/>
          <w:u w:val="single"/>
          <w:lang w:val="en-US"/>
        </w:rPr>
      </w:pPr>
      <w:r w:rsidRPr="00957D1B">
        <w:rPr>
          <w:rFonts w:ascii="Garamond" w:hAnsi="Garamond"/>
          <w:sz w:val="24"/>
          <w:szCs w:val="28"/>
          <w:u w:val="single"/>
          <w:lang w:val="en-US"/>
        </w:rPr>
        <w:t>Heating</w:t>
      </w:r>
    </w:p>
    <w:p w14:paraId="485CA1E4" w14:textId="24CE0A72" w:rsidR="007C38ED" w:rsidRPr="00957D1B" w:rsidRDefault="007C38ED" w:rsidP="001C7B6C">
      <w:pPr>
        <w:rPr>
          <w:rFonts w:ascii="Garamond" w:hAnsi="Garamond"/>
          <w:sz w:val="24"/>
          <w:szCs w:val="28"/>
          <w:lang w:val="en-US"/>
        </w:rPr>
      </w:pPr>
      <w:r w:rsidRPr="00957D1B">
        <w:rPr>
          <w:rFonts w:ascii="Garamond" w:hAnsi="Garamond"/>
          <w:sz w:val="24"/>
          <w:szCs w:val="28"/>
          <w:lang w:val="en-US"/>
        </w:rPr>
        <w:t xml:space="preserve">It was identified that the hot water piping was not insulated and that boiler efficiency could be improved. The following </w:t>
      </w:r>
      <w:r w:rsidRPr="00957D1B">
        <w:rPr>
          <w:rFonts w:ascii="Garamond" w:hAnsi="Garamond"/>
          <w:i/>
          <w:iCs/>
          <w:sz w:val="24"/>
          <w:szCs w:val="28"/>
          <w:lang w:val="en-US"/>
        </w:rPr>
        <w:t xml:space="preserve">recommendations </w:t>
      </w:r>
      <w:r w:rsidRPr="00957D1B">
        <w:rPr>
          <w:rFonts w:ascii="Garamond" w:hAnsi="Garamond"/>
          <w:sz w:val="24"/>
          <w:szCs w:val="28"/>
          <w:lang w:val="en-US"/>
        </w:rPr>
        <w:t>on heating are provided:</w:t>
      </w:r>
    </w:p>
    <w:p w14:paraId="0F73875E" w14:textId="4C5BE344" w:rsidR="007C38ED" w:rsidRPr="00957D1B" w:rsidRDefault="009964E3" w:rsidP="001C7B6C">
      <w:pPr>
        <w:pStyle w:val="ListParagraph"/>
        <w:numPr>
          <w:ilvl w:val="0"/>
          <w:numId w:val="38"/>
        </w:numPr>
        <w:rPr>
          <w:rFonts w:ascii="Garamond" w:hAnsi="Garamond"/>
          <w:sz w:val="24"/>
          <w:szCs w:val="24"/>
          <w:lang w:val="en-US"/>
        </w:rPr>
      </w:pPr>
      <w:r w:rsidRPr="00957D1B">
        <w:rPr>
          <w:rFonts w:ascii="Garamond" w:hAnsi="Garamond"/>
          <w:sz w:val="24"/>
          <w:szCs w:val="24"/>
          <w:lang w:val="en-US"/>
        </w:rPr>
        <w:t>Undertake a</w:t>
      </w:r>
      <w:r w:rsidR="00A920B6" w:rsidRPr="00957D1B">
        <w:rPr>
          <w:rFonts w:ascii="Garamond" w:hAnsi="Garamond"/>
          <w:sz w:val="24"/>
          <w:szCs w:val="24"/>
          <w:lang w:val="en-US"/>
        </w:rPr>
        <w:t xml:space="preserve"> retro-commissioning of the boiler heating system in the building to rebalance the entire hot water flowrate and to tune the boiler system for optimum efficiency. </w:t>
      </w:r>
    </w:p>
    <w:p w14:paraId="687BD625" w14:textId="1077E052" w:rsidR="00A920B6" w:rsidRPr="00957D1B" w:rsidRDefault="00A920B6" w:rsidP="001C7B6C">
      <w:pPr>
        <w:pStyle w:val="ListParagraph"/>
        <w:numPr>
          <w:ilvl w:val="0"/>
          <w:numId w:val="38"/>
        </w:numPr>
        <w:rPr>
          <w:rFonts w:ascii="Garamond" w:hAnsi="Garamond"/>
          <w:sz w:val="24"/>
          <w:szCs w:val="24"/>
          <w:lang w:val="en-US"/>
        </w:rPr>
      </w:pPr>
      <w:r w:rsidRPr="00957D1B">
        <w:rPr>
          <w:rFonts w:ascii="Garamond" w:hAnsi="Garamond"/>
          <w:sz w:val="24"/>
          <w:szCs w:val="24"/>
          <w:lang w:val="en-US"/>
        </w:rPr>
        <w:t xml:space="preserve">Install a thermostat control on all radiators to regulate their use in </w:t>
      </w:r>
      <w:r w:rsidR="009964E3" w:rsidRPr="00957D1B">
        <w:rPr>
          <w:rFonts w:ascii="Garamond" w:hAnsi="Garamond"/>
          <w:sz w:val="24"/>
          <w:szCs w:val="24"/>
          <w:lang w:val="en-US"/>
        </w:rPr>
        <w:t>line with the room temperature.</w:t>
      </w:r>
    </w:p>
    <w:p w14:paraId="64819689" w14:textId="77777777" w:rsidR="0015679D" w:rsidRPr="00957D1B" w:rsidRDefault="00A920B6" w:rsidP="001C7B6C">
      <w:pPr>
        <w:pStyle w:val="ListParagraph"/>
        <w:numPr>
          <w:ilvl w:val="0"/>
          <w:numId w:val="38"/>
        </w:numPr>
        <w:rPr>
          <w:rFonts w:ascii="Garamond" w:hAnsi="Garamond"/>
          <w:sz w:val="24"/>
          <w:szCs w:val="24"/>
          <w:lang w:val="en-US"/>
        </w:rPr>
      </w:pPr>
      <w:r w:rsidRPr="00957D1B">
        <w:rPr>
          <w:rFonts w:ascii="Garamond" w:hAnsi="Garamond"/>
          <w:sz w:val="24"/>
          <w:szCs w:val="24"/>
          <w:lang w:val="en-US"/>
        </w:rPr>
        <w:t>Apply insulation to all hot water piping to reduce heat loss.</w:t>
      </w:r>
    </w:p>
    <w:p w14:paraId="6EE6B2A9" w14:textId="1AFBE260" w:rsidR="00A920B6" w:rsidRPr="00957D1B" w:rsidRDefault="0015679D" w:rsidP="001C7B6C">
      <w:pPr>
        <w:pStyle w:val="ListParagraph"/>
        <w:numPr>
          <w:ilvl w:val="0"/>
          <w:numId w:val="38"/>
        </w:numPr>
        <w:rPr>
          <w:rFonts w:ascii="Garamond" w:hAnsi="Garamond"/>
          <w:sz w:val="24"/>
          <w:szCs w:val="24"/>
          <w:lang w:val="en-US"/>
        </w:rPr>
      </w:pPr>
      <w:r w:rsidRPr="00957D1B">
        <w:rPr>
          <w:rFonts w:ascii="Garamond" w:hAnsi="Garamond"/>
          <w:sz w:val="24"/>
          <w:szCs w:val="24"/>
          <w:lang w:val="en-US"/>
        </w:rPr>
        <w:lastRenderedPageBreak/>
        <w:t xml:space="preserve">Install new condensing boilers, which have efficiencies of up to 90%. However, ensure that the supplier/contractor takes measures to reduce rust exposure during use, as condensing boilers are at greater risk of rust from the high Sulphur content of diesel used in Jordan. </w:t>
      </w:r>
      <w:r w:rsidR="00A920B6" w:rsidRPr="00957D1B">
        <w:rPr>
          <w:rFonts w:ascii="Garamond" w:hAnsi="Garamond"/>
          <w:sz w:val="24"/>
          <w:szCs w:val="24"/>
          <w:lang w:val="en-US"/>
        </w:rPr>
        <w:t xml:space="preserve"> </w:t>
      </w:r>
    </w:p>
    <w:p w14:paraId="3E083659" w14:textId="328825CD"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Indoor air quality</w:t>
      </w:r>
    </w:p>
    <w:p w14:paraId="2C1F01E4" w14:textId="4F500C32" w:rsidR="00A84B87" w:rsidRPr="00957D1B" w:rsidRDefault="00B50FC9" w:rsidP="001C7B6C">
      <w:pPr>
        <w:spacing w:after="240"/>
        <w:rPr>
          <w:rFonts w:ascii="Garamond" w:hAnsi="Garamond"/>
          <w:sz w:val="24"/>
          <w:szCs w:val="28"/>
          <w:lang w:val="en-US"/>
        </w:rPr>
      </w:pPr>
      <w:r>
        <w:rPr>
          <w:rFonts w:ascii="Garamond" w:hAnsi="Garamond"/>
          <w:sz w:val="24"/>
          <w:lang w:val="en-GB"/>
        </w:rPr>
        <w:t>I</w:t>
      </w:r>
      <w:r w:rsidR="00BD5169" w:rsidRPr="00957D1B">
        <w:rPr>
          <w:rFonts w:ascii="Garamond" w:hAnsi="Garamond"/>
          <w:sz w:val="24"/>
          <w:lang w:val="en-GB"/>
        </w:rPr>
        <w:t>ndoor air quality is repre</w:t>
      </w:r>
      <w:bookmarkStart w:id="0" w:name="_GoBack"/>
      <w:bookmarkEnd w:id="0"/>
      <w:r w:rsidR="00BD5169" w:rsidRPr="00957D1B">
        <w:rPr>
          <w:rFonts w:ascii="Garamond" w:hAnsi="Garamond"/>
          <w:sz w:val="24"/>
          <w:lang w:val="en-GB"/>
        </w:rPr>
        <w:t>sented by concentrations of pollutants and thermal conditions such as temperature and relative humidity, that may or may not affect health, comfort and performance. At UNDP, the measured CO</w:t>
      </w:r>
      <w:r w:rsidR="00BD5169" w:rsidRPr="00957D1B">
        <w:rPr>
          <w:rFonts w:ascii="Garamond" w:hAnsi="Garamond"/>
          <w:sz w:val="24"/>
          <w:vertAlign w:val="superscript"/>
          <w:lang w:val="en-GB"/>
        </w:rPr>
        <w:t>2</w:t>
      </w:r>
      <w:r w:rsidR="00BD5169" w:rsidRPr="00957D1B">
        <w:rPr>
          <w:rFonts w:ascii="Garamond" w:hAnsi="Garamond"/>
          <w:sz w:val="24"/>
          <w:lang w:val="en-GB"/>
        </w:rPr>
        <w:t xml:space="preserve"> level was above 1,000 ppm after a meeting lasting 45 minutes. </w:t>
      </w:r>
      <w:r w:rsidR="00091D61" w:rsidRPr="00957D1B">
        <w:rPr>
          <w:rFonts w:ascii="Garamond" w:hAnsi="Garamond"/>
          <w:sz w:val="24"/>
          <w:lang w:val="en-GB"/>
        </w:rPr>
        <w:t xml:space="preserve">This indicates that there is a lack of fresh air being provided. </w:t>
      </w:r>
      <w:r w:rsidR="00091D61" w:rsidRPr="00957D1B">
        <w:rPr>
          <w:rFonts w:ascii="Garamond" w:hAnsi="Garamond"/>
          <w:sz w:val="24"/>
          <w:szCs w:val="28"/>
          <w:lang w:val="en-US"/>
        </w:rPr>
        <w:t xml:space="preserve">The following </w:t>
      </w:r>
      <w:r w:rsidR="00091D61" w:rsidRPr="00957D1B">
        <w:rPr>
          <w:rFonts w:ascii="Garamond" w:hAnsi="Garamond"/>
          <w:i/>
          <w:iCs/>
          <w:sz w:val="24"/>
          <w:szCs w:val="28"/>
          <w:lang w:val="en-US"/>
        </w:rPr>
        <w:t xml:space="preserve">recommendation </w:t>
      </w:r>
      <w:r w:rsidR="00091D61" w:rsidRPr="00957D1B">
        <w:rPr>
          <w:rFonts w:ascii="Garamond" w:hAnsi="Garamond"/>
          <w:sz w:val="24"/>
          <w:szCs w:val="28"/>
          <w:lang w:val="en-US"/>
        </w:rPr>
        <w:t>on indoor air quality is provided:</w:t>
      </w:r>
    </w:p>
    <w:p w14:paraId="4AEEFB7D" w14:textId="2404FA76" w:rsidR="00091D61" w:rsidRPr="00957D1B" w:rsidRDefault="00091D61" w:rsidP="001C7B6C">
      <w:pPr>
        <w:pStyle w:val="ListParagraph"/>
        <w:numPr>
          <w:ilvl w:val="0"/>
          <w:numId w:val="39"/>
        </w:numPr>
        <w:spacing w:after="240"/>
        <w:rPr>
          <w:rFonts w:ascii="Garamond" w:hAnsi="Garamond"/>
          <w:sz w:val="24"/>
          <w:szCs w:val="24"/>
        </w:rPr>
      </w:pPr>
      <w:r w:rsidRPr="00957D1B">
        <w:rPr>
          <w:rFonts w:ascii="Garamond" w:hAnsi="Garamond"/>
          <w:sz w:val="24"/>
          <w:szCs w:val="24"/>
        </w:rPr>
        <w:t>Provide a fresh air supply fan or an exhaust fan in all windowless meeting rooms. Ideally, the fan should be coupled with a CO</w:t>
      </w:r>
      <w:r w:rsidRPr="00957D1B">
        <w:rPr>
          <w:rFonts w:ascii="Garamond" w:hAnsi="Garamond"/>
          <w:sz w:val="24"/>
          <w:szCs w:val="24"/>
          <w:vertAlign w:val="superscript"/>
        </w:rPr>
        <w:t>2</w:t>
      </w:r>
      <w:r w:rsidRPr="00957D1B">
        <w:rPr>
          <w:rFonts w:ascii="Garamond" w:hAnsi="Garamond"/>
          <w:sz w:val="24"/>
          <w:szCs w:val="24"/>
        </w:rPr>
        <w:t xml:space="preserve"> sensor to provide just the right amount of fresh air to the space.  </w:t>
      </w:r>
    </w:p>
    <w:p w14:paraId="7AF0A59E" w14:textId="50043BD1"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Photovoltaic system</w:t>
      </w:r>
    </w:p>
    <w:p w14:paraId="4F9EF26D" w14:textId="062AD67B" w:rsidR="000E40B2" w:rsidRPr="00957D1B" w:rsidRDefault="006D35E6" w:rsidP="001C7B6C">
      <w:pPr>
        <w:spacing w:after="240"/>
        <w:rPr>
          <w:rFonts w:ascii="Garamond" w:hAnsi="Garamond"/>
          <w:sz w:val="24"/>
          <w:szCs w:val="28"/>
          <w:lang w:val="en-US"/>
        </w:rPr>
      </w:pPr>
      <w:r w:rsidRPr="00957D1B">
        <w:rPr>
          <w:rFonts w:ascii="Garamond" w:hAnsi="Garamond"/>
          <w:sz w:val="24"/>
          <w:lang w:val="en-GB"/>
        </w:rPr>
        <w:t>The photovoltaic (PV) solar panels installed on the roof top were found to be producing 14Kw of power during the site visit, at noon, with overcast skies. A thick layer of dust was found on the panels</w:t>
      </w:r>
      <w:r w:rsidR="000E40B2" w:rsidRPr="00957D1B">
        <w:rPr>
          <w:rFonts w:ascii="Garamond" w:hAnsi="Garamond"/>
          <w:sz w:val="24"/>
          <w:lang w:val="en-GB"/>
        </w:rPr>
        <w:t xml:space="preserve">, after roughly 6 months of use; whilst no connection was found between the PV system and the electricity grid. It is likely that the generated solar power is used internally by the building rather than being exported. If this is the case, the electricity bill should </w:t>
      </w:r>
      <w:r w:rsidR="0003220D">
        <w:rPr>
          <w:rFonts w:ascii="Garamond" w:hAnsi="Garamond"/>
          <w:sz w:val="24"/>
          <w:lang w:val="en-GB"/>
        </w:rPr>
        <w:t>decrease</w:t>
      </w:r>
      <w:r w:rsidR="0003220D" w:rsidRPr="00957D1B">
        <w:rPr>
          <w:rFonts w:ascii="Garamond" w:hAnsi="Garamond"/>
          <w:sz w:val="24"/>
          <w:lang w:val="en-GB"/>
        </w:rPr>
        <w:t xml:space="preserve"> </w:t>
      </w:r>
      <w:r w:rsidR="000E40B2" w:rsidRPr="00957D1B">
        <w:rPr>
          <w:rFonts w:ascii="Garamond" w:hAnsi="Garamond"/>
          <w:sz w:val="24"/>
          <w:lang w:val="en-GB"/>
        </w:rPr>
        <w:t>sig</w:t>
      </w:r>
      <w:r w:rsidR="002E74BF" w:rsidRPr="00957D1B">
        <w:rPr>
          <w:rFonts w:ascii="Garamond" w:hAnsi="Garamond"/>
          <w:sz w:val="24"/>
          <w:lang w:val="en-GB"/>
        </w:rPr>
        <w:t xml:space="preserve">nificantly after the </w:t>
      </w:r>
      <w:r w:rsidR="00E06C37" w:rsidRPr="00957D1B">
        <w:rPr>
          <w:rFonts w:ascii="Garamond" w:hAnsi="Garamond"/>
          <w:sz w:val="24"/>
          <w:lang w:val="en-GB"/>
        </w:rPr>
        <w:t>installation</w:t>
      </w:r>
      <w:r w:rsidR="002E74BF" w:rsidRPr="00957D1B">
        <w:rPr>
          <w:rFonts w:ascii="Garamond" w:hAnsi="Garamond"/>
          <w:sz w:val="24"/>
          <w:lang w:val="en-GB"/>
        </w:rPr>
        <w:t xml:space="preserve"> of this system.</w:t>
      </w:r>
      <w:r w:rsidR="000E40B2" w:rsidRPr="00957D1B">
        <w:rPr>
          <w:rFonts w:ascii="Garamond" w:hAnsi="Garamond"/>
          <w:sz w:val="24"/>
          <w:lang w:val="en-GB"/>
        </w:rPr>
        <w:t xml:space="preserve"> </w:t>
      </w:r>
      <w:r w:rsidR="002E74BF" w:rsidRPr="00957D1B">
        <w:rPr>
          <w:rFonts w:ascii="Garamond" w:hAnsi="Garamond"/>
          <w:sz w:val="24"/>
          <w:szCs w:val="28"/>
          <w:lang w:val="en-US"/>
        </w:rPr>
        <w:t xml:space="preserve">The following </w:t>
      </w:r>
      <w:r w:rsidR="002E74BF" w:rsidRPr="00957D1B">
        <w:rPr>
          <w:rFonts w:ascii="Garamond" w:hAnsi="Garamond"/>
          <w:i/>
          <w:iCs/>
          <w:sz w:val="24"/>
          <w:szCs w:val="28"/>
          <w:lang w:val="en-US"/>
        </w:rPr>
        <w:t xml:space="preserve">recommendation </w:t>
      </w:r>
      <w:r w:rsidR="002E74BF" w:rsidRPr="00957D1B">
        <w:rPr>
          <w:rFonts w:ascii="Garamond" w:hAnsi="Garamond"/>
          <w:sz w:val="24"/>
          <w:szCs w:val="28"/>
          <w:lang w:val="en-US"/>
        </w:rPr>
        <w:t>regarding the PV system is provided:</w:t>
      </w:r>
    </w:p>
    <w:p w14:paraId="075DECB0" w14:textId="6C66E64D" w:rsidR="002E74BF" w:rsidRPr="00957D1B" w:rsidRDefault="002E74BF" w:rsidP="001C7B6C">
      <w:pPr>
        <w:pStyle w:val="ListParagraph"/>
        <w:numPr>
          <w:ilvl w:val="0"/>
          <w:numId w:val="39"/>
        </w:numPr>
        <w:spacing w:after="240"/>
        <w:rPr>
          <w:rFonts w:ascii="Garamond" w:hAnsi="Garamond"/>
          <w:sz w:val="24"/>
          <w:szCs w:val="24"/>
        </w:rPr>
      </w:pPr>
      <w:r w:rsidRPr="00957D1B">
        <w:rPr>
          <w:rFonts w:ascii="Garamond" w:hAnsi="Garamond"/>
          <w:sz w:val="24"/>
          <w:szCs w:val="24"/>
        </w:rPr>
        <w:t>It is recommended to sweep the PV system once a month to maintain optimal output from these panels.</w:t>
      </w:r>
    </w:p>
    <w:p w14:paraId="6FE2564D" w14:textId="6B076892" w:rsidR="003B4744" w:rsidRPr="00957D1B" w:rsidRDefault="003B4744" w:rsidP="001C7B6C">
      <w:pPr>
        <w:spacing w:after="240"/>
        <w:rPr>
          <w:rFonts w:ascii="Garamond" w:hAnsi="Garamond"/>
          <w:sz w:val="24"/>
          <w:u w:val="single"/>
          <w:lang w:val="en-GB"/>
        </w:rPr>
      </w:pPr>
      <w:r w:rsidRPr="00957D1B">
        <w:rPr>
          <w:rFonts w:ascii="Garamond" w:hAnsi="Garamond"/>
          <w:sz w:val="24"/>
          <w:u w:val="single"/>
          <w:lang w:val="en-GB"/>
        </w:rPr>
        <w:t>Data centre</w:t>
      </w:r>
    </w:p>
    <w:p w14:paraId="16439FA7" w14:textId="6566A820" w:rsidR="00750024" w:rsidRPr="00957D1B" w:rsidRDefault="00AE0AD8" w:rsidP="001C7B6C">
      <w:pPr>
        <w:spacing w:after="240"/>
        <w:rPr>
          <w:rFonts w:ascii="Garamond" w:hAnsi="Garamond"/>
          <w:sz w:val="24"/>
          <w:szCs w:val="28"/>
          <w:lang w:val="en-US"/>
        </w:rPr>
      </w:pPr>
      <w:r w:rsidRPr="00957D1B">
        <w:rPr>
          <w:rFonts w:ascii="Garamond" w:hAnsi="Garamond"/>
          <w:sz w:val="24"/>
          <w:lang w:val="en-GB"/>
        </w:rPr>
        <w:t xml:space="preserve">The server room temperature </w:t>
      </w:r>
      <w:r w:rsidR="00AA5E6C" w:rsidRPr="00957D1B">
        <w:rPr>
          <w:rFonts w:ascii="Garamond" w:hAnsi="Garamond"/>
          <w:sz w:val="24"/>
          <w:lang w:val="en-GB"/>
        </w:rPr>
        <w:t xml:space="preserve">was found to be operating at </w:t>
      </w:r>
      <w:r w:rsidR="00AA5E6C" w:rsidRPr="00957D1B">
        <w:rPr>
          <w:rFonts w:ascii="Garamond" w:hAnsi="Garamond"/>
          <w:sz w:val="24"/>
          <w:szCs w:val="28"/>
          <w:lang w:val="en-US"/>
        </w:rPr>
        <w:t>16</w:t>
      </w:r>
      <w:r w:rsidR="00AA5E6C" w:rsidRPr="00957D1B">
        <w:rPr>
          <w:rFonts w:ascii="Cambria Math" w:hAnsi="Cambria Math" w:cs="Cambria Math"/>
          <w:sz w:val="24"/>
          <w:szCs w:val="28"/>
          <w:lang w:val="en-US"/>
        </w:rPr>
        <w:t>⁰</w:t>
      </w:r>
      <w:r w:rsidR="00AA5E6C" w:rsidRPr="00957D1B">
        <w:rPr>
          <w:rFonts w:ascii="Garamond" w:hAnsi="Garamond"/>
          <w:sz w:val="24"/>
          <w:szCs w:val="28"/>
          <w:lang w:val="en-US"/>
        </w:rPr>
        <w:t>C during the site visit, which is below the recommended minimum temperature.</w:t>
      </w:r>
      <w:r w:rsidR="008605A4" w:rsidRPr="00957D1B">
        <w:rPr>
          <w:rFonts w:ascii="Garamond" w:hAnsi="Garamond"/>
          <w:sz w:val="24"/>
          <w:szCs w:val="28"/>
          <w:lang w:val="en-US"/>
        </w:rPr>
        <w:t xml:space="preserve"> The latest ASHRAE Guide (2011), recommends that a data centre should operate at a temperature of 18</w:t>
      </w:r>
      <w:r w:rsidR="008605A4" w:rsidRPr="00957D1B">
        <w:rPr>
          <w:rFonts w:ascii="Cambria Math" w:hAnsi="Cambria Math" w:cs="Cambria Math"/>
          <w:sz w:val="24"/>
          <w:szCs w:val="28"/>
          <w:lang w:val="en-US"/>
        </w:rPr>
        <w:t>⁰</w:t>
      </w:r>
      <w:r w:rsidR="008605A4" w:rsidRPr="00957D1B">
        <w:rPr>
          <w:rFonts w:ascii="Garamond" w:hAnsi="Garamond"/>
          <w:sz w:val="24"/>
          <w:szCs w:val="28"/>
          <w:lang w:val="en-US"/>
        </w:rPr>
        <w:t>C to 27</w:t>
      </w:r>
      <w:r w:rsidR="008605A4" w:rsidRPr="00957D1B">
        <w:rPr>
          <w:rFonts w:ascii="Cambria Math" w:hAnsi="Cambria Math" w:cs="Cambria Math"/>
          <w:sz w:val="24"/>
          <w:szCs w:val="28"/>
          <w:lang w:val="en-US"/>
        </w:rPr>
        <w:t>⁰</w:t>
      </w:r>
      <w:r w:rsidR="008605A4" w:rsidRPr="00957D1B">
        <w:rPr>
          <w:rFonts w:ascii="Garamond" w:hAnsi="Garamond"/>
          <w:sz w:val="24"/>
          <w:szCs w:val="28"/>
          <w:lang w:val="en-US"/>
        </w:rPr>
        <w:t xml:space="preserve">C. The following </w:t>
      </w:r>
      <w:r w:rsidR="008605A4" w:rsidRPr="00957D1B">
        <w:rPr>
          <w:rFonts w:ascii="Garamond" w:hAnsi="Garamond"/>
          <w:i/>
          <w:iCs/>
          <w:sz w:val="24"/>
          <w:szCs w:val="28"/>
          <w:lang w:val="en-US"/>
        </w:rPr>
        <w:t xml:space="preserve">recommendations </w:t>
      </w:r>
      <w:r w:rsidR="008605A4" w:rsidRPr="00957D1B">
        <w:rPr>
          <w:rFonts w:ascii="Garamond" w:hAnsi="Garamond"/>
          <w:sz w:val="24"/>
          <w:szCs w:val="28"/>
          <w:lang w:val="en-US"/>
        </w:rPr>
        <w:t>regarding the data centre are provided:</w:t>
      </w:r>
    </w:p>
    <w:p w14:paraId="2E4CBDF3" w14:textId="295BFE2F" w:rsidR="00815916" w:rsidRPr="00957D1B" w:rsidRDefault="0079308E" w:rsidP="001C7B6C">
      <w:pPr>
        <w:pStyle w:val="ListParagraph"/>
        <w:numPr>
          <w:ilvl w:val="0"/>
          <w:numId w:val="39"/>
        </w:numPr>
        <w:spacing w:after="240"/>
        <w:rPr>
          <w:rFonts w:ascii="Garamond" w:hAnsi="Garamond"/>
          <w:sz w:val="24"/>
          <w:szCs w:val="24"/>
          <w:lang w:val="en-US"/>
        </w:rPr>
      </w:pPr>
      <w:r w:rsidRPr="00957D1B">
        <w:rPr>
          <w:rFonts w:ascii="Garamond" w:hAnsi="Garamond"/>
          <w:sz w:val="24"/>
          <w:szCs w:val="24"/>
          <w:lang w:val="en-US"/>
        </w:rPr>
        <w:t xml:space="preserve">The data centre (server room) is recommended to be operated </w:t>
      </w:r>
      <w:r w:rsidR="0003220D">
        <w:rPr>
          <w:rFonts w:ascii="Garamond" w:hAnsi="Garamond"/>
          <w:sz w:val="24"/>
          <w:szCs w:val="24"/>
          <w:lang w:val="en-US"/>
        </w:rPr>
        <w:t xml:space="preserve">at </w:t>
      </w:r>
      <w:r w:rsidRPr="00957D1B">
        <w:rPr>
          <w:rFonts w:ascii="Garamond" w:hAnsi="Garamond"/>
          <w:sz w:val="24"/>
          <w:szCs w:val="24"/>
          <w:lang w:val="en-US"/>
        </w:rPr>
        <w:t xml:space="preserve">no lower than </w:t>
      </w:r>
      <w:r w:rsidRPr="00957D1B">
        <w:rPr>
          <w:rFonts w:ascii="Garamond" w:hAnsi="Garamond"/>
          <w:sz w:val="24"/>
          <w:szCs w:val="24"/>
        </w:rPr>
        <w:t>25</w:t>
      </w:r>
      <w:r w:rsidRPr="00957D1B">
        <w:rPr>
          <w:rFonts w:ascii="Cambria Math" w:hAnsi="Cambria Math" w:cs="Cambria Math"/>
          <w:sz w:val="24"/>
          <w:szCs w:val="24"/>
        </w:rPr>
        <w:t>⁰</w:t>
      </w:r>
      <w:r w:rsidRPr="00957D1B">
        <w:rPr>
          <w:rFonts w:ascii="Garamond" w:hAnsi="Garamond"/>
          <w:sz w:val="24"/>
          <w:szCs w:val="24"/>
        </w:rPr>
        <w:t>C to reduce energy consumption whilst maintaining a good buffer from the allowable maximum 27</w:t>
      </w:r>
      <w:r w:rsidRPr="00957D1B">
        <w:rPr>
          <w:rFonts w:ascii="Cambria Math" w:hAnsi="Cambria Math" w:cs="Cambria Math"/>
          <w:sz w:val="24"/>
          <w:szCs w:val="24"/>
        </w:rPr>
        <w:t>⁰</w:t>
      </w:r>
      <w:r w:rsidRPr="00957D1B">
        <w:rPr>
          <w:rFonts w:ascii="Garamond" w:hAnsi="Garamond"/>
          <w:sz w:val="24"/>
          <w:szCs w:val="24"/>
        </w:rPr>
        <w:t>C.</w:t>
      </w:r>
    </w:p>
    <w:p w14:paraId="39BE57B5" w14:textId="51E50D79" w:rsidR="0079308E" w:rsidRPr="00957D1B" w:rsidRDefault="0079308E" w:rsidP="001C7B6C">
      <w:pPr>
        <w:pStyle w:val="ListParagraph"/>
        <w:numPr>
          <w:ilvl w:val="0"/>
          <w:numId w:val="39"/>
        </w:numPr>
        <w:spacing w:after="240"/>
        <w:rPr>
          <w:rFonts w:ascii="Garamond" w:hAnsi="Garamond"/>
          <w:sz w:val="24"/>
          <w:szCs w:val="24"/>
          <w:lang w:val="en-US"/>
        </w:rPr>
      </w:pPr>
      <w:r w:rsidRPr="00957D1B">
        <w:rPr>
          <w:rFonts w:ascii="Garamond" w:hAnsi="Garamond"/>
          <w:sz w:val="24"/>
          <w:szCs w:val="24"/>
          <w:lang w:val="en-US"/>
        </w:rPr>
        <w:t xml:space="preserve">It is also recommended to use the most efficient inverter type split unit air conditioning system for this location.  </w:t>
      </w:r>
    </w:p>
    <w:p w14:paraId="28FD4752" w14:textId="77777777" w:rsidR="00AA5E6C" w:rsidRPr="00957D1B" w:rsidRDefault="00AA5E6C" w:rsidP="001C7B6C">
      <w:pPr>
        <w:pStyle w:val="ListParagraph"/>
        <w:spacing w:after="160"/>
        <w:rPr>
          <w:sz w:val="24"/>
          <w:szCs w:val="24"/>
        </w:rPr>
      </w:pPr>
    </w:p>
    <w:p w14:paraId="4F903866" w14:textId="77777777" w:rsidR="00AA5E6C" w:rsidRPr="00957D1B" w:rsidRDefault="00AA5E6C" w:rsidP="001C7B6C">
      <w:pPr>
        <w:pStyle w:val="ListParagraph"/>
        <w:spacing w:after="160"/>
        <w:rPr>
          <w:sz w:val="24"/>
          <w:szCs w:val="24"/>
        </w:rPr>
      </w:pPr>
    </w:p>
    <w:p w14:paraId="5B5AD11D" w14:textId="77777777" w:rsidR="00AA5E6C" w:rsidRPr="00957D1B" w:rsidRDefault="00AA5E6C" w:rsidP="001C7B6C">
      <w:pPr>
        <w:pStyle w:val="ListParagraph"/>
        <w:spacing w:after="160"/>
        <w:rPr>
          <w:sz w:val="24"/>
          <w:szCs w:val="24"/>
        </w:rPr>
      </w:pPr>
    </w:p>
    <w:p w14:paraId="191B3555" w14:textId="77777777" w:rsidR="003B4744" w:rsidRPr="00957D1B" w:rsidRDefault="003B4744" w:rsidP="001C7B6C">
      <w:pPr>
        <w:spacing w:after="240"/>
        <w:rPr>
          <w:rFonts w:ascii="Garamond" w:hAnsi="Garamond"/>
          <w:sz w:val="24"/>
          <w:u w:val="single"/>
          <w:lang w:val="en-GB"/>
        </w:rPr>
      </w:pPr>
    </w:p>
    <w:sectPr w:rsidR="003B4744" w:rsidRPr="00957D1B" w:rsidSect="00DA67B1">
      <w:pgSz w:w="11907" w:h="16839" w:code="9"/>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BAB7" w16cid:durableId="1EB15388"/>
  <w16cid:commentId w16cid:paraId="50D68A7A" w16cid:durableId="1EB15459"/>
  <w16cid:commentId w16cid:paraId="68FFF950" w16cid:durableId="1EB15482"/>
  <w16cid:commentId w16cid:paraId="344FBF7F" w16cid:durableId="1EB155A3"/>
  <w16cid:commentId w16cid:paraId="7CE46570" w16cid:durableId="1EB15855"/>
  <w16cid:commentId w16cid:paraId="3C9A61B0" w16cid:durableId="1EB1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7699B" w14:textId="77777777" w:rsidR="00A35B9E" w:rsidRDefault="00A35B9E" w:rsidP="00DA67B1">
      <w:pPr>
        <w:spacing w:after="0" w:line="240" w:lineRule="auto"/>
      </w:pPr>
      <w:r>
        <w:separator/>
      </w:r>
    </w:p>
  </w:endnote>
  <w:endnote w:type="continuationSeparator" w:id="0">
    <w:p w14:paraId="6CD579D3" w14:textId="77777777" w:rsidR="00A35B9E" w:rsidRDefault="00A35B9E" w:rsidP="00DA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4A52" w14:textId="77777777" w:rsidR="00A35B9E" w:rsidRDefault="00A35B9E" w:rsidP="00DA67B1">
      <w:pPr>
        <w:spacing w:after="0" w:line="240" w:lineRule="auto"/>
      </w:pPr>
      <w:r>
        <w:separator/>
      </w:r>
    </w:p>
  </w:footnote>
  <w:footnote w:type="continuationSeparator" w:id="0">
    <w:p w14:paraId="69A5556F" w14:textId="77777777" w:rsidR="00A35B9E" w:rsidRDefault="00A35B9E" w:rsidP="00DA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F7"/>
    <w:multiLevelType w:val="hybridMultilevel"/>
    <w:tmpl w:val="905C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4338"/>
    <w:multiLevelType w:val="hybridMultilevel"/>
    <w:tmpl w:val="143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0452"/>
    <w:multiLevelType w:val="hybridMultilevel"/>
    <w:tmpl w:val="C89E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6759"/>
    <w:multiLevelType w:val="hybridMultilevel"/>
    <w:tmpl w:val="20DC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3D30"/>
    <w:multiLevelType w:val="hybridMultilevel"/>
    <w:tmpl w:val="BC3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4517"/>
    <w:multiLevelType w:val="hybridMultilevel"/>
    <w:tmpl w:val="1F8214B8"/>
    <w:lvl w:ilvl="0" w:tplc="0409000F">
      <w:start w:val="1"/>
      <w:numFmt w:val="decimal"/>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AEC43234">
      <w:start w:val="4"/>
      <w:numFmt w:val="bullet"/>
      <w:lvlText w:val="•"/>
      <w:lvlJc w:val="left"/>
      <w:pPr>
        <w:ind w:left="3033" w:hanging="705"/>
      </w:pPr>
      <w:rPr>
        <w:rFonts w:ascii="Calibri" w:eastAsia="Times New Roman" w:hAnsi="Calibri" w:cs="Calibri" w:hint="default"/>
      </w:rPr>
    </w:lvl>
    <w:lvl w:ilvl="3" w:tplc="AEB85D90">
      <w:start w:val="1"/>
      <w:numFmt w:val="decimal"/>
      <w:lvlText w:val="%4."/>
      <w:lvlJc w:val="left"/>
      <w:pPr>
        <w:ind w:left="3573" w:hanging="705"/>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4023F8D"/>
    <w:multiLevelType w:val="hybridMultilevel"/>
    <w:tmpl w:val="9D9E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DA6"/>
    <w:multiLevelType w:val="hybridMultilevel"/>
    <w:tmpl w:val="593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41189"/>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793"/>
    <w:multiLevelType w:val="hybridMultilevel"/>
    <w:tmpl w:val="2DB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42158"/>
    <w:multiLevelType w:val="hybridMultilevel"/>
    <w:tmpl w:val="01EE5728"/>
    <w:lvl w:ilvl="0" w:tplc="E7DC8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97494"/>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0123D"/>
    <w:multiLevelType w:val="hybridMultilevel"/>
    <w:tmpl w:val="A40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62396"/>
    <w:multiLevelType w:val="hybridMultilevel"/>
    <w:tmpl w:val="904AD80A"/>
    <w:lvl w:ilvl="0" w:tplc="CD9EB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67E8"/>
    <w:multiLevelType w:val="hybridMultilevel"/>
    <w:tmpl w:val="EB581D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 w15:restartNumberingAfterBreak="0">
    <w:nsid w:val="322E42AB"/>
    <w:multiLevelType w:val="hybridMultilevel"/>
    <w:tmpl w:val="0DF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25AF2"/>
    <w:multiLevelType w:val="hybridMultilevel"/>
    <w:tmpl w:val="3BF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01730"/>
    <w:multiLevelType w:val="hybridMultilevel"/>
    <w:tmpl w:val="75F6E8F8"/>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A144D14"/>
    <w:multiLevelType w:val="hybridMultilevel"/>
    <w:tmpl w:val="8B2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37963"/>
    <w:multiLevelType w:val="hybridMultilevel"/>
    <w:tmpl w:val="877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67F10"/>
    <w:multiLevelType w:val="hybridMultilevel"/>
    <w:tmpl w:val="6DC4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90D19"/>
    <w:multiLevelType w:val="hybridMultilevel"/>
    <w:tmpl w:val="017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014E9"/>
    <w:multiLevelType w:val="hybridMultilevel"/>
    <w:tmpl w:val="68A28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8245A"/>
    <w:multiLevelType w:val="hybridMultilevel"/>
    <w:tmpl w:val="11FC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22FB9"/>
    <w:multiLevelType w:val="hybridMultilevel"/>
    <w:tmpl w:val="A2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359D0"/>
    <w:multiLevelType w:val="hybridMultilevel"/>
    <w:tmpl w:val="0BF8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27C3D"/>
    <w:multiLevelType w:val="hybridMultilevel"/>
    <w:tmpl w:val="071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019A6"/>
    <w:multiLevelType w:val="hybridMultilevel"/>
    <w:tmpl w:val="71C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2746A"/>
    <w:multiLevelType w:val="hybridMultilevel"/>
    <w:tmpl w:val="4F2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C5DEA"/>
    <w:multiLevelType w:val="hybridMultilevel"/>
    <w:tmpl w:val="342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641"/>
    <w:multiLevelType w:val="multilevel"/>
    <w:tmpl w:val="F21EE8D8"/>
    <w:lvl w:ilvl="0">
      <w:start w:val="1"/>
      <w:numFmt w:val="bullet"/>
      <w:lvlText w:val=""/>
      <w:lvlJc w:val="left"/>
      <w:pPr>
        <w:ind w:left="1788" w:hanging="360"/>
      </w:pPr>
      <w:rPr>
        <w:rFonts w:ascii="Symbol" w:hAnsi="Symbol" w:hint="default"/>
      </w:rPr>
    </w:lvl>
    <w:lvl w:ilvl="1">
      <w:start w:val="1"/>
      <w:numFmt w:val="decimal"/>
      <w:isLgl/>
      <w:lvlText w:val="%1.%2"/>
      <w:lvlJc w:val="left"/>
      <w:pPr>
        <w:ind w:left="2496" w:hanging="360"/>
      </w:pPr>
      <w:rPr>
        <w:rFonts w:hint="default"/>
        <w:b w:val="0"/>
      </w:rPr>
    </w:lvl>
    <w:lvl w:ilvl="2">
      <w:start w:val="1"/>
      <w:numFmt w:val="decimal"/>
      <w:isLgl/>
      <w:lvlText w:val="%1.%2.%3"/>
      <w:lvlJc w:val="left"/>
      <w:pPr>
        <w:ind w:left="3564" w:hanging="720"/>
      </w:pPr>
      <w:rPr>
        <w:rFonts w:hint="default"/>
        <w:b w:val="0"/>
      </w:rPr>
    </w:lvl>
    <w:lvl w:ilvl="3">
      <w:start w:val="1"/>
      <w:numFmt w:val="decimal"/>
      <w:isLgl/>
      <w:lvlText w:val="%1.%2.%3.%4"/>
      <w:lvlJc w:val="left"/>
      <w:pPr>
        <w:ind w:left="4272" w:hanging="720"/>
      </w:pPr>
      <w:rPr>
        <w:rFonts w:hint="default"/>
        <w:b w:val="0"/>
      </w:rPr>
    </w:lvl>
    <w:lvl w:ilvl="4">
      <w:start w:val="1"/>
      <w:numFmt w:val="decimal"/>
      <w:isLgl/>
      <w:lvlText w:val="%1.%2.%3.%4.%5"/>
      <w:lvlJc w:val="left"/>
      <w:pPr>
        <w:ind w:left="5340" w:hanging="1080"/>
      </w:pPr>
      <w:rPr>
        <w:rFonts w:hint="default"/>
        <w:b w:val="0"/>
      </w:rPr>
    </w:lvl>
    <w:lvl w:ilvl="5">
      <w:start w:val="1"/>
      <w:numFmt w:val="decimal"/>
      <w:isLgl/>
      <w:lvlText w:val="%1.%2.%3.%4.%5.%6"/>
      <w:lvlJc w:val="left"/>
      <w:pPr>
        <w:ind w:left="6048" w:hanging="1080"/>
      </w:pPr>
      <w:rPr>
        <w:rFonts w:hint="default"/>
        <w:b w:val="0"/>
      </w:rPr>
    </w:lvl>
    <w:lvl w:ilvl="6">
      <w:start w:val="1"/>
      <w:numFmt w:val="decimal"/>
      <w:isLgl/>
      <w:lvlText w:val="%1.%2.%3.%4.%5.%6.%7"/>
      <w:lvlJc w:val="left"/>
      <w:pPr>
        <w:ind w:left="7116" w:hanging="1440"/>
      </w:pPr>
      <w:rPr>
        <w:rFonts w:hint="default"/>
        <w:b w:val="0"/>
      </w:rPr>
    </w:lvl>
    <w:lvl w:ilvl="7">
      <w:start w:val="1"/>
      <w:numFmt w:val="decimal"/>
      <w:isLgl/>
      <w:lvlText w:val="%1.%2.%3.%4.%5.%6.%7.%8"/>
      <w:lvlJc w:val="left"/>
      <w:pPr>
        <w:ind w:left="7824" w:hanging="1440"/>
      </w:pPr>
      <w:rPr>
        <w:rFonts w:hint="default"/>
        <w:b w:val="0"/>
      </w:rPr>
    </w:lvl>
    <w:lvl w:ilvl="8">
      <w:start w:val="1"/>
      <w:numFmt w:val="decimal"/>
      <w:isLgl/>
      <w:lvlText w:val="%1.%2.%3.%4.%5.%6.%7.%8.%9"/>
      <w:lvlJc w:val="left"/>
      <w:pPr>
        <w:ind w:left="8892" w:hanging="1800"/>
      </w:pPr>
      <w:rPr>
        <w:rFonts w:hint="default"/>
        <w:b w:val="0"/>
      </w:rPr>
    </w:lvl>
  </w:abstractNum>
  <w:abstractNum w:abstractNumId="31" w15:restartNumberingAfterBreak="0">
    <w:nsid w:val="67BE2C5F"/>
    <w:multiLevelType w:val="hybridMultilevel"/>
    <w:tmpl w:val="D0141F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D2264"/>
    <w:multiLevelType w:val="hybridMultilevel"/>
    <w:tmpl w:val="5BD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640D2"/>
    <w:multiLevelType w:val="hybridMultilevel"/>
    <w:tmpl w:val="F5B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608AF"/>
    <w:multiLevelType w:val="hybridMultilevel"/>
    <w:tmpl w:val="BD7E23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5" w15:restartNumberingAfterBreak="0">
    <w:nsid w:val="6E057843"/>
    <w:multiLevelType w:val="hybridMultilevel"/>
    <w:tmpl w:val="558E9374"/>
    <w:lvl w:ilvl="0" w:tplc="6DB8855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145F5"/>
    <w:multiLevelType w:val="hybridMultilevel"/>
    <w:tmpl w:val="2732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4390D"/>
    <w:multiLevelType w:val="hybridMultilevel"/>
    <w:tmpl w:val="BB1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60FEE"/>
    <w:multiLevelType w:val="hybridMultilevel"/>
    <w:tmpl w:val="BAE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8"/>
  </w:num>
  <w:num w:numId="4">
    <w:abstractNumId w:val="10"/>
  </w:num>
  <w:num w:numId="5">
    <w:abstractNumId w:val="17"/>
  </w:num>
  <w:num w:numId="6">
    <w:abstractNumId w:val="11"/>
  </w:num>
  <w:num w:numId="7">
    <w:abstractNumId w:val="6"/>
  </w:num>
  <w:num w:numId="8">
    <w:abstractNumId w:val="31"/>
  </w:num>
  <w:num w:numId="9">
    <w:abstractNumId w:val="0"/>
  </w:num>
  <w:num w:numId="10">
    <w:abstractNumId w:val="5"/>
  </w:num>
  <w:num w:numId="11">
    <w:abstractNumId w:val="35"/>
  </w:num>
  <w:num w:numId="12">
    <w:abstractNumId w:val="20"/>
  </w:num>
  <w:num w:numId="13">
    <w:abstractNumId w:val="13"/>
  </w:num>
  <w:num w:numId="14">
    <w:abstractNumId w:val="37"/>
  </w:num>
  <w:num w:numId="15">
    <w:abstractNumId w:val="14"/>
  </w:num>
  <w:num w:numId="16">
    <w:abstractNumId w:val="12"/>
  </w:num>
  <w:num w:numId="17">
    <w:abstractNumId w:val="16"/>
  </w:num>
  <w:num w:numId="18">
    <w:abstractNumId w:val="27"/>
  </w:num>
  <w:num w:numId="19">
    <w:abstractNumId w:val="18"/>
  </w:num>
  <w:num w:numId="20">
    <w:abstractNumId w:val="34"/>
  </w:num>
  <w:num w:numId="21">
    <w:abstractNumId w:val="2"/>
  </w:num>
  <w:num w:numId="22">
    <w:abstractNumId w:val="32"/>
  </w:num>
  <w:num w:numId="23">
    <w:abstractNumId w:val="29"/>
  </w:num>
  <w:num w:numId="24">
    <w:abstractNumId w:val="7"/>
  </w:num>
  <w:num w:numId="25">
    <w:abstractNumId w:val="3"/>
  </w:num>
  <w:num w:numId="26">
    <w:abstractNumId w:val="21"/>
  </w:num>
  <w:num w:numId="27">
    <w:abstractNumId w:val="9"/>
  </w:num>
  <w:num w:numId="28">
    <w:abstractNumId w:val="25"/>
  </w:num>
  <w:num w:numId="29">
    <w:abstractNumId w:val="26"/>
  </w:num>
  <w:num w:numId="30">
    <w:abstractNumId w:val="22"/>
  </w:num>
  <w:num w:numId="31">
    <w:abstractNumId w:val="15"/>
  </w:num>
  <w:num w:numId="32">
    <w:abstractNumId w:val="38"/>
  </w:num>
  <w:num w:numId="33">
    <w:abstractNumId w:val="23"/>
  </w:num>
  <w:num w:numId="34">
    <w:abstractNumId w:val="28"/>
  </w:num>
  <w:num w:numId="35">
    <w:abstractNumId w:val="1"/>
  </w:num>
  <w:num w:numId="36">
    <w:abstractNumId w:val="36"/>
  </w:num>
  <w:num w:numId="37">
    <w:abstractNumId w:val="33"/>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33"/>
    <w:rsid w:val="00025E4C"/>
    <w:rsid w:val="00031559"/>
    <w:rsid w:val="0003220D"/>
    <w:rsid w:val="00042AB3"/>
    <w:rsid w:val="00055EBB"/>
    <w:rsid w:val="00066E84"/>
    <w:rsid w:val="0008658A"/>
    <w:rsid w:val="0009114F"/>
    <w:rsid w:val="00091D61"/>
    <w:rsid w:val="00094550"/>
    <w:rsid w:val="000A1BC6"/>
    <w:rsid w:val="000D39A0"/>
    <w:rsid w:val="000E40B2"/>
    <w:rsid w:val="000E5C5E"/>
    <w:rsid w:val="000F3387"/>
    <w:rsid w:val="000F5186"/>
    <w:rsid w:val="00105523"/>
    <w:rsid w:val="00115F57"/>
    <w:rsid w:val="0012057C"/>
    <w:rsid w:val="00121F0F"/>
    <w:rsid w:val="00130A5C"/>
    <w:rsid w:val="0014108A"/>
    <w:rsid w:val="0015679D"/>
    <w:rsid w:val="0018710E"/>
    <w:rsid w:val="00194D35"/>
    <w:rsid w:val="001A0639"/>
    <w:rsid w:val="001A66B3"/>
    <w:rsid w:val="001A714B"/>
    <w:rsid w:val="001B0BC7"/>
    <w:rsid w:val="001B0E0A"/>
    <w:rsid w:val="001C7B6C"/>
    <w:rsid w:val="001D07FE"/>
    <w:rsid w:val="001D67DE"/>
    <w:rsid w:val="001E5DA2"/>
    <w:rsid w:val="00214F1C"/>
    <w:rsid w:val="00215784"/>
    <w:rsid w:val="002422E2"/>
    <w:rsid w:val="002426E2"/>
    <w:rsid w:val="00250639"/>
    <w:rsid w:val="00251E0B"/>
    <w:rsid w:val="00261A47"/>
    <w:rsid w:val="00262A37"/>
    <w:rsid w:val="00262C57"/>
    <w:rsid w:val="0026388F"/>
    <w:rsid w:val="00267F62"/>
    <w:rsid w:val="00274D19"/>
    <w:rsid w:val="00280B00"/>
    <w:rsid w:val="00286BE1"/>
    <w:rsid w:val="00293BE1"/>
    <w:rsid w:val="00294F6C"/>
    <w:rsid w:val="002A0F0B"/>
    <w:rsid w:val="002A19C2"/>
    <w:rsid w:val="002C0308"/>
    <w:rsid w:val="002D1079"/>
    <w:rsid w:val="002E0FC5"/>
    <w:rsid w:val="002E1066"/>
    <w:rsid w:val="002E2A2F"/>
    <w:rsid w:val="002E74BF"/>
    <w:rsid w:val="002F4632"/>
    <w:rsid w:val="00300537"/>
    <w:rsid w:val="00304568"/>
    <w:rsid w:val="00307FC6"/>
    <w:rsid w:val="0032061A"/>
    <w:rsid w:val="00330FDA"/>
    <w:rsid w:val="00331A3C"/>
    <w:rsid w:val="00331A59"/>
    <w:rsid w:val="00335235"/>
    <w:rsid w:val="003370EB"/>
    <w:rsid w:val="00342449"/>
    <w:rsid w:val="003461E4"/>
    <w:rsid w:val="00353A21"/>
    <w:rsid w:val="00360529"/>
    <w:rsid w:val="00367038"/>
    <w:rsid w:val="00395CE4"/>
    <w:rsid w:val="00397D75"/>
    <w:rsid w:val="003B06FB"/>
    <w:rsid w:val="003B4744"/>
    <w:rsid w:val="003D0577"/>
    <w:rsid w:val="003D4B76"/>
    <w:rsid w:val="003D5504"/>
    <w:rsid w:val="003E3301"/>
    <w:rsid w:val="00414A1E"/>
    <w:rsid w:val="00422714"/>
    <w:rsid w:val="004245FD"/>
    <w:rsid w:val="00425F5D"/>
    <w:rsid w:val="00436377"/>
    <w:rsid w:val="00443759"/>
    <w:rsid w:val="004440F7"/>
    <w:rsid w:val="004524A2"/>
    <w:rsid w:val="00452F77"/>
    <w:rsid w:val="00456839"/>
    <w:rsid w:val="00456AD3"/>
    <w:rsid w:val="00460FB8"/>
    <w:rsid w:val="004744AF"/>
    <w:rsid w:val="004825E1"/>
    <w:rsid w:val="004827CC"/>
    <w:rsid w:val="004B4BBE"/>
    <w:rsid w:val="004B7EE0"/>
    <w:rsid w:val="004D5B6D"/>
    <w:rsid w:val="004D7BD8"/>
    <w:rsid w:val="004F1015"/>
    <w:rsid w:val="004F1323"/>
    <w:rsid w:val="00504403"/>
    <w:rsid w:val="005239F9"/>
    <w:rsid w:val="00524A0E"/>
    <w:rsid w:val="00533278"/>
    <w:rsid w:val="005510B4"/>
    <w:rsid w:val="00560406"/>
    <w:rsid w:val="00567611"/>
    <w:rsid w:val="00571F86"/>
    <w:rsid w:val="00580BB6"/>
    <w:rsid w:val="005922B8"/>
    <w:rsid w:val="005955B1"/>
    <w:rsid w:val="00595E54"/>
    <w:rsid w:val="005A04AD"/>
    <w:rsid w:val="005E0276"/>
    <w:rsid w:val="005F56BD"/>
    <w:rsid w:val="005F6A7E"/>
    <w:rsid w:val="00603C5C"/>
    <w:rsid w:val="0060650E"/>
    <w:rsid w:val="00610A92"/>
    <w:rsid w:val="00610BD0"/>
    <w:rsid w:val="00641BC9"/>
    <w:rsid w:val="00642107"/>
    <w:rsid w:val="006520E9"/>
    <w:rsid w:val="006664F4"/>
    <w:rsid w:val="00667411"/>
    <w:rsid w:val="006701CD"/>
    <w:rsid w:val="006703D5"/>
    <w:rsid w:val="00685C58"/>
    <w:rsid w:val="00685C67"/>
    <w:rsid w:val="0069768A"/>
    <w:rsid w:val="006A38A7"/>
    <w:rsid w:val="006A7A46"/>
    <w:rsid w:val="006B21C0"/>
    <w:rsid w:val="006B51C2"/>
    <w:rsid w:val="006C6B3F"/>
    <w:rsid w:val="006D35E6"/>
    <w:rsid w:val="006E43C5"/>
    <w:rsid w:val="006E55D9"/>
    <w:rsid w:val="006E5FAE"/>
    <w:rsid w:val="006F1048"/>
    <w:rsid w:val="006F3D46"/>
    <w:rsid w:val="00706E2B"/>
    <w:rsid w:val="0071001D"/>
    <w:rsid w:val="007230D9"/>
    <w:rsid w:val="00731B0C"/>
    <w:rsid w:val="007414AA"/>
    <w:rsid w:val="00742EE9"/>
    <w:rsid w:val="00750024"/>
    <w:rsid w:val="007521F2"/>
    <w:rsid w:val="0077262B"/>
    <w:rsid w:val="00772A08"/>
    <w:rsid w:val="00782A39"/>
    <w:rsid w:val="00784BA8"/>
    <w:rsid w:val="00785366"/>
    <w:rsid w:val="00787932"/>
    <w:rsid w:val="0079308E"/>
    <w:rsid w:val="007976ED"/>
    <w:rsid w:val="007C38ED"/>
    <w:rsid w:val="007C5B19"/>
    <w:rsid w:val="007D4862"/>
    <w:rsid w:val="007D7144"/>
    <w:rsid w:val="007E0EF2"/>
    <w:rsid w:val="007E2021"/>
    <w:rsid w:val="007E6B21"/>
    <w:rsid w:val="007F2D24"/>
    <w:rsid w:val="007F4815"/>
    <w:rsid w:val="007F6057"/>
    <w:rsid w:val="00804EE9"/>
    <w:rsid w:val="0080734A"/>
    <w:rsid w:val="00815916"/>
    <w:rsid w:val="00835403"/>
    <w:rsid w:val="0084207F"/>
    <w:rsid w:val="00852252"/>
    <w:rsid w:val="008605A4"/>
    <w:rsid w:val="008773FD"/>
    <w:rsid w:val="008779E5"/>
    <w:rsid w:val="0088122F"/>
    <w:rsid w:val="00886F04"/>
    <w:rsid w:val="00895889"/>
    <w:rsid w:val="008A6C87"/>
    <w:rsid w:val="008C0CF0"/>
    <w:rsid w:val="008C0FC8"/>
    <w:rsid w:val="008C75A6"/>
    <w:rsid w:val="008D2CC0"/>
    <w:rsid w:val="008D5E55"/>
    <w:rsid w:val="008E3071"/>
    <w:rsid w:val="008E6845"/>
    <w:rsid w:val="008F1C6A"/>
    <w:rsid w:val="008F4757"/>
    <w:rsid w:val="00900D79"/>
    <w:rsid w:val="00936930"/>
    <w:rsid w:val="00944842"/>
    <w:rsid w:val="00945532"/>
    <w:rsid w:val="00946688"/>
    <w:rsid w:val="00957D1B"/>
    <w:rsid w:val="00966285"/>
    <w:rsid w:val="00974832"/>
    <w:rsid w:val="009776FC"/>
    <w:rsid w:val="00977933"/>
    <w:rsid w:val="009964E3"/>
    <w:rsid w:val="009A1B5B"/>
    <w:rsid w:val="009A534A"/>
    <w:rsid w:val="009B5DEA"/>
    <w:rsid w:val="009B77D7"/>
    <w:rsid w:val="009C1C8F"/>
    <w:rsid w:val="009C3796"/>
    <w:rsid w:val="009E21C9"/>
    <w:rsid w:val="009E3A16"/>
    <w:rsid w:val="00A1744F"/>
    <w:rsid w:val="00A26F83"/>
    <w:rsid w:val="00A34BDD"/>
    <w:rsid w:val="00A35B9E"/>
    <w:rsid w:val="00A35BC8"/>
    <w:rsid w:val="00A429E8"/>
    <w:rsid w:val="00A45CAA"/>
    <w:rsid w:val="00A5051C"/>
    <w:rsid w:val="00A5360D"/>
    <w:rsid w:val="00A60D32"/>
    <w:rsid w:val="00A71F8C"/>
    <w:rsid w:val="00A84B87"/>
    <w:rsid w:val="00A920B6"/>
    <w:rsid w:val="00A95AE0"/>
    <w:rsid w:val="00A96066"/>
    <w:rsid w:val="00AA2C9F"/>
    <w:rsid w:val="00AA5E6C"/>
    <w:rsid w:val="00AA6622"/>
    <w:rsid w:val="00AC5415"/>
    <w:rsid w:val="00AC5CE5"/>
    <w:rsid w:val="00AE0AD8"/>
    <w:rsid w:val="00AF0DD0"/>
    <w:rsid w:val="00AF1953"/>
    <w:rsid w:val="00AF7C82"/>
    <w:rsid w:val="00B02B1E"/>
    <w:rsid w:val="00B051E4"/>
    <w:rsid w:val="00B178B0"/>
    <w:rsid w:val="00B224E9"/>
    <w:rsid w:val="00B32AEE"/>
    <w:rsid w:val="00B37D3E"/>
    <w:rsid w:val="00B46CFE"/>
    <w:rsid w:val="00B50CC7"/>
    <w:rsid w:val="00B50F5C"/>
    <w:rsid w:val="00B50FC9"/>
    <w:rsid w:val="00B55033"/>
    <w:rsid w:val="00B5530D"/>
    <w:rsid w:val="00B61954"/>
    <w:rsid w:val="00B821C6"/>
    <w:rsid w:val="00B82586"/>
    <w:rsid w:val="00B9335E"/>
    <w:rsid w:val="00BC01CB"/>
    <w:rsid w:val="00BC2CA5"/>
    <w:rsid w:val="00BD1EC9"/>
    <w:rsid w:val="00BD5169"/>
    <w:rsid w:val="00BE247A"/>
    <w:rsid w:val="00C1050F"/>
    <w:rsid w:val="00C12499"/>
    <w:rsid w:val="00C175A3"/>
    <w:rsid w:val="00C4300A"/>
    <w:rsid w:val="00C47F4E"/>
    <w:rsid w:val="00C573FF"/>
    <w:rsid w:val="00C6522A"/>
    <w:rsid w:val="00CB09D8"/>
    <w:rsid w:val="00CB0DE0"/>
    <w:rsid w:val="00CD6052"/>
    <w:rsid w:val="00CE17C2"/>
    <w:rsid w:val="00CE1D11"/>
    <w:rsid w:val="00CF2769"/>
    <w:rsid w:val="00D14762"/>
    <w:rsid w:val="00D34C5A"/>
    <w:rsid w:val="00D41E70"/>
    <w:rsid w:val="00D52B93"/>
    <w:rsid w:val="00D56665"/>
    <w:rsid w:val="00D924D1"/>
    <w:rsid w:val="00DA4592"/>
    <w:rsid w:val="00DA5D28"/>
    <w:rsid w:val="00DA67B1"/>
    <w:rsid w:val="00DC017A"/>
    <w:rsid w:val="00DD2CE6"/>
    <w:rsid w:val="00DD4BB7"/>
    <w:rsid w:val="00DF16B2"/>
    <w:rsid w:val="00DF57E9"/>
    <w:rsid w:val="00DF7B9D"/>
    <w:rsid w:val="00E06C37"/>
    <w:rsid w:val="00E22A9D"/>
    <w:rsid w:val="00E3003E"/>
    <w:rsid w:val="00E338E6"/>
    <w:rsid w:val="00E518ED"/>
    <w:rsid w:val="00E629FB"/>
    <w:rsid w:val="00E6454F"/>
    <w:rsid w:val="00E67AF0"/>
    <w:rsid w:val="00E75E38"/>
    <w:rsid w:val="00E86D67"/>
    <w:rsid w:val="00E90739"/>
    <w:rsid w:val="00EA7DF1"/>
    <w:rsid w:val="00ED03D2"/>
    <w:rsid w:val="00ED1269"/>
    <w:rsid w:val="00ED396E"/>
    <w:rsid w:val="00ED4E57"/>
    <w:rsid w:val="00ED5D75"/>
    <w:rsid w:val="00EE5CA7"/>
    <w:rsid w:val="00EF2EB8"/>
    <w:rsid w:val="00EF54E9"/>
    <w:rsid w:val="00F32840"/>
    <w:rsid w:val="00F34E19"/>
    <w:rsid w:val="00F50A0A"/>
    <w:rsid w:val="00F526EB"/>
    <w:rsid w:val="00F53B53"/>
    <w:rsid w:val="00F6102E"/>
    <w:rsid w:val="00F65411"/>
    <w:rsid w:val="00F65D9E"/>
    <w:rsid w:val="00FA6274"/>
    <w:rsid w:val="00FB073B"/>
    <w:rsid w:val="00FB3336"/>
    <w:rsid w:val="00FC2916"/>
    <w:rsid w:val="00FD26CF"/>
    <w:rsid w:val="00FD7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20C37"/>
  <w15:chartTrackingRefBased/>
  <w15:docId w15:val="{79F969ED-5605-4D7B-9DFA-C74A6F8A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7B1"/>
    <w:pPr>
      <w:jc w:val="both"/>
    </w:pPr>
    <w:rPr>
      <w:rFonts w:ascii="Calibri" w:eastAsia="Calibri" w:hAnsi="Calibri" w:cs="Calibri"/>
      <w:color w:val="000000"/>
      <w:szCs w:val="24"/>
      <w:lang w:val="fr-FR" w:eastAsia="fr-FR"/>
    </w:rPr>
  </w:style>
  <w:style w:type="paragraph" w:styleId="Heading1">
    <w:name w:val="heading 1"/>
    <w:basedOn w:val="Normal"/>
    <w:next w:val="Normal"/>
    <w:link w:val="Heading1Char"/>
    <w:uiPriority w:val="9"/>
    <w:qFormat/>
    <w:rsid w:val="00DA6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B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003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B1"/>
  </w:style>
  <w:style w:type="paragraph" w:styleId="Footer">
    <w:name w:val="footer"/>
    <w:basedOn w:val="Normal"/>
    <w:link w:val="FooterChar"/>
    <w:uiPriority w:val="99"/>
    <w:unhideWhenUsed/>
    <w:rsid w:val="00DA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B1"/>
  </w:style>
  <w:style w:type="character" w:customStyle="1" w:styleId="Heading1Char">
    <w:name w:val="Heading 1 Char"/>
    <w:basedOn w:val="DefaultParagraphFont"/>
    <w:link w:val="Heading1"/>
    <w:uiPriority w:val="9"/>
    <w:rsid w:val="00DA67B1"/>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641BC9"/>
    <w:rPr>
      <w:rFonts w:asciiTheme="majorHAnsi" w:eastAsiaTheme="majorEastAsia" w:hAnsiTheme="majorHAnsi" w:cstheme="majorBidi"/>
      <w:color w:val="365F91" w:themeColor="accent1" w:themeShade="BF"/>
      <w:sz w:val="26"/>
      <w:szCs w:val="26"/>
      <w:lang w:val="fr-FR" w:eastAsia="fr-FR"/>
    </w:rPr>
  </w:style>
  <w:style w:type="character" w:styleId="Hyperlink">
    <w:name w:val="Hyperlink"/>
    <w:uiPriority w:val="99"/>
    <w:rsid w:val="00641BC9"/>
    <w:rPr>
      <w:rFonts w:cs="Times New Roman"/>
      <w:color w:val="0000FF"/>
      <w:u w:val="single"/>
    </w:rPr>
  </w:style>
  <w:style w:type="paragraph" w:styleId="ListParagraph">
    <w:name w:val="List Paragraph"/>
    <w:basedOn w:val="Normal"/>
    <w:uiPriority w:val="34"/>
    <w:qFormat/>
    <w:rsid w:val="00BE247A"/>
    <w:pPr>
      <w:ind w:left="720"/>
      <w:contextualSpacing/>
    </w:pPr>
    <w:rPr>
      <w:rFonts w:cs="Times New Roman"/>
      <w:color w:val="auto"/>
      <w:szCs w:val="22"/>
      <w:lang w:val="en-GB" w:eastAsia="en-US"/>
    </w:rPr>
  </w:style>
  <w:style w:type="paragraph" w:styleId="FootnoteText">
    <w:name w:val="footnote text"/>
    <w:basedOn w:val="Normal"/>
    <w:link w:val="FootnoteTextChar"/>
    <w:uiPriority w:val="99"/>
    <w:rsid w:val="00307FC6"/>
    <w:pPr>
      <w:spacing w:after="120" w:line="360" w:lineRule="auto"/>
      <w:jc w:val="left"/>
    </w:pPr>
    <w:rPr>
      <w:rFonts w:ascii="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307FC6"/>
    <w:rPr>
      <w:rFonts w:ascii="Times New Roman" w:eastAsia="Calibri" w:hAnsi="Times New Roman" w:cs="Times New Roman"/>
      <w:sz w:val="20"/>
      <w:szCs w:val="20"/>
      <w:lang w:eastAsia="en-US"/>
    </w:rPr>
  </w:style>
  <w:style w:type="character" w:styleId="FootnoteReference">
    <w:name w:val="footnote reference"/>
    <w:uiPriority w:val="99"/>
    <w:rsid w:val="00307FC6"/>
    <w:rPr>
      <w:rFonts w:cs="Times New Roman"/>
      <w:vertAlign w:val="superscript"/>
    </w:rPr>
  </w:style>
  <w:style w:type="character" w:customStyle="1" w:styleId="Heading3Char">
    <w:name w:val="Heading 3 Char"/>
    <w:basedOn w:val="DefaultParagraphFont"/>
    <w:link w:val="Heading3"/>
    <w:uiPriority w:val="9"/>
    <w:semiHidden/>
    <w:rsid w:val="00E3003E"/>
    <w:rPr>
      <w:rFonts w:asciiTheme="majorHAnsi" w:eastAsiaTheme="majorEastAsia" w:hAnsiTheme="majorHAnsi" w:cstheme="majorBidi"/>
      <w:color w:val="243F60" w:themeColor="accent1" w:themeShade="7F"/>
      <w:sz w:val="24"/>
      <w:szCs w:val="24"/>
      <w:lang w:val="fr-FR" w:eastAsia="fr-FR"/>
    </w:rPr>
  </w:style>
  <w:style w:type="character" w:customStyle="1" w:styleId="normaltextrun">
    <w:name w:val="normaltextrun"/>
    <w:basedOn w:val="DefaultParagraphFont"/>
    <w:rsid w:val="006703D5"/>
  </w:style>
  <w:style w:type="paragraph" w:styleId="Caption">
    <w:name w:val="caption"/>
    <w:basedOn w:val="Normal"/>
    <w:next w:val="Normal"/>
    <w:uiPriority w:val="35"/>
    <w:qFormat/>
    <w:rsid w:val="006703D5"/>
    <w:pPr>
      <w:spacing w:line="240" w:lineRule="auto"/>
      <w:jc w:val="left"/>
    </w:pPr>
    <w:rPr>
      <w:rFonts w:asciiTheme="minorHAnsi" w:eastAsia="SimSun" w:hAnsiTheme="minorHAnsi" w:cs="Arial"/>
      <w:b/>
      <w:bCs/>
      <w:color w:val="548DD4" w:themeColor="text2" w:themeTint="99"/>
      <w:szCs w:val="18"/>
      <w:lang w:val="en-US" w:eastAsia="en-US"/>
    </w:rPr>
  </w:style>
  <w:style w:type="character" w:styleId="CommentReference">
    <w:name w:val="annotation reference"/>
    <w:basedOn w:val="DefaultParagraphFont"/>
    <w:uiPriority w:val="99"/>
    <w:semiHidden/>
    <w:unhideWhenUsed/>
    <w:rsid w:val="00422714"/>
    <w:rPr>
      <w:sz w:val="16"/>
      <w:szCs w:val="16"/>
    </w:rPr>
  </w:style>
  <w:style w:type="paragraph" w:styleId="CommentText">
    <w:name w:val="annotation text"/>
    <w:basedOn w:val="Normal"/>
    <w:link w:val="CommentTextChar"/>
    <w:uiPriority w:val="99"/>
    <w:semiHidden/>
    <w:unhideWhenUsed/>
    <w:rsid w:val="00422714"/>
    <w:pPr>
      <w:spacing w:line="240" w:lineRule="auto"/>
    </w:pPr>
    <w:rPr>
      <w:sz w:val="20"/>
      <w:szCs w:val="20"/>
    </w:rPr>
  </w:style>
  <w:style w:type="character" w:customStyle="1" w:styleId="CommentTextChar">
    <w:name w:val="Comment Text Char"/>
    <w:basedOn w:val="DefaultParagraphFont"/>
    <w:link w:val="CommentText"/>
    <w:uiPriority w:val="99"/>
    <w:semiHidden/>
    <w:rsid w:val="00422714"/>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422714"/>
    <w:rPr>
      <w:b/>
      <w:bCs/>
    </w:rPr>
  </w:style>
  <w:style w:type="character" w:customStyle="1" w:styleId="CommentSubjectChar">
    <w:name w:val="Comment Subject Char"/>
    <w:basedOn w:val="CommentTextChar"/>
    <w:link w:val="CommentSubject"/>
    <w:uiPriority w:val="99"/>
    <w:semiHidden/>
    <w:rsid w:val="00422714"/>
    <w:rPr>
      <w:rFonts w:ascii="Calibri" w:eastAsia="Calibri" w:hAnsi="Calibri" w:cs="Calibri"/>
      <w:b/>
      <w:bCs/>
      <w:color w:val="000000"/>
      <w:sz w:val="20"/>
      <w:szCs w:val="20"/>
      <w:lang w:val="fr-FR" w:eastAsia="fr-FR"/>
    </w:rPr>
  </w:style>
  <w:style w:type="paragraph" w:styleId="BalloonText">
    <w:name w:val="Balloon Text"/>
    <w:basedOn w:val="Normal"/>
    <w:link w:val="BalloonTextChar"/>
    <w:uiPriority w:val="99"/>
    <w:semiHidden/>
    <w:unhideWhenUsed/>
    <w:rsid w:val="0042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14"/>
    <w:rPr>
      <w:rFonts w:ascii="Segoe UI" w:eastAsia="Calibri" w:hAnsi="Segoe UI" w:cs="Segoe UI"/>
      <w:color w:val="000000"/>
      <w:sz w:val="18"/>
      <w:szCs w:val="18"/>
      <w:lang w:val="fr-FR" w:eastAsia="fr-FR"/>
    </w:rPr>
  </w:style>
  <w:style w:type="table" w:customStyle="1" w:styleId="GridTable4-Accent11">
    <w:name w:val="Grid Table 4 - Accent 11"/>
    <w:basedOn w:val="TableNormal"/>
    <w:uiPriority w:val="49"/>
    <w:rsid w:val="00685C67"/>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5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g@un.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 Bel</dc:creator>
  <cp:keywords/>
  <dc:description/>
  <cp:lastModifiedBy>Garam Bel</cp:lastModifiedBy>
  <cp:revision>7</cp:revision>
  <dcterms:created xsi:type="dcterms:W3CDTF">2018-05-30T12:31:00Z</dcterms:created>
  <dcterms:modified xsi:type="dcterms:W3CDTF">2018-05-30T13:12:00Z</dcterms:modified>
</cp:coreProperties>
</file>