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C9973D" w14:textId="77777777" w:rsidR="00DA67B1" w:rsidRPr="002C0F0D" w:rsidRDefault="00DA67B1" w:rsidP="002C0F0D">
      <w:pPr>
        <w:spacing w:before="240"/>
        <w:jc w:val="left"/>
        <w:rPr>
          <w:sz w:val="28"/>
          <w:szCs w:val="28"/>
          <w:lang w:val="en-GB"/>
        </w:rPr>
      </w:pPr>
      <w:r w:rsidRPr="002C0F0D">
        <w:rPr>
          <w:rStyle w:val="Heading1Char"/>
          <w:szCs w:val="32"/>
          <w:lang w:val="en-GB"/>
        </w:rPr>
        <w:t>DOCUMENT TITLE:</w:t>
      </w:r>
      <w:r w:rsidRPr="002C0F0D">
        <w:rPr>
          <w:sz w:val="28"/>
          <w:szCs w:val="28"/>
          <w:lang w:val="en-GB"/>
        </w:rPr>
        <w:t xml:space="preserve"> </w:t>
      </w:r>
    </w:p>
    <w:p w14:paraId="76BBDA92" w14:textId="77777777" w:rsidR="00CE1D11" w:rsidRPr="002C0F0D" w:rsidRDefault="00FD7068" w:rsidP="002C0F0D">
      <w:pPr>
        <w:spacing w:after="0"/>
        <w:jc w:val="center"/>
        <w:rPr>
          <w:rFonts w:asciiTheme="majorHAnsi" w:hAnsiTheme="majorHAnsi"/>
          <w:b/>
          <w:bCs/>
          <w:color w:val="auto"/>
          <w:sz w:val="32"/>
          <w:szCs w:val="32"/>
          <w:lang w:val="en-GB"/>
        </w:rPr>
      </w:pPr>
      <w:r w:rsidRPr="002C0F0D">
        <w:rPr>
          <w:rFonts w:asciiTheme="majorHAnsi" w:hAnsiTheme="majorHAnsi"/>
          <w:b/>
          <w:bCs/>
          <w:color w:val="auto"/>
          <w:sz w:val="32"/>
          <w:szCs w:val="32"/>
          <w:lang w:val="en-GB"/>
        </w:rPr>
        <w:t>UNRWA</w:t>
      </w:r>
      <w:r w:rsidR="00CE1D11" w:rsidRPr="002C0F0D">
        <w:rPr>
          <w:rFonts w:asciiTheme="majorHAnsi" w:hAnsiTheme="majorHAnsi"/>
          <w:b/>
          <w:bCs/>
          <w:color w:val="auto"/>
          <w:sz w:val="32"/>
          <w:szCs w:val="32"/>
          <w:lang w:val="en-GB"/>
        </w:rPr>
        <w:t xml:space="preserve"> Corporate Environmental Management</w:t>
      </w:r>
    </w:p>
    <w:p w14:paraId="1FBD03F5" w14:textId="77777777" w:rsidR="00CE1D11" w:rsidRPr="002C0F0D" w:rsidRDefault="00CE1D11" w:rsidP="002C0F0D">
      <w:pPr>
        <w:pStyle w:val="ListParagraph"/>
        <w:numPr>
          <w:ilvl w:val="0"/>
          <w:numId w:val="11"/>
        </w:numPr>
        <w:jc w:val="center"/>
        <w:rPr>
          <w:rFonts w:asciiTheme="majorHAnsi" w:hAnsiTheme="majorHAnsi"/>
          <w:b/>
          <w:bCs/>
          <w:sz w:val="32"/>
          <w:szCs w:val="32"/>
        </w:rPr>
      </w:pPr>
      <w:r w:rsidRPr="002C0F0D">
        <w:rPr>
          <w:rFonts w:asciiTheme="majorHAnsi" w:hAnsiTheme="majorHAnsi"/>
          <w:b/>
          <w:bCs/>
          <w:sz w:val="32"/>
          <w:szCs w:val="32"/>
        </w:rPr>
        <w:t xml:space="preserve">A Summary – </w:t>
      </w:r>
    </w:p>
    <w:p w14:paraId="314D9DA7" w14:textId="77777777" w:rsidR="002E1066" w:rsidRPr="002C0F0D" w:rsidRDefault="002E1066" w:rsidP="002C0F0D">
      <w:pPr>
        <w:pStyle w:val="ListParagraph"/>
        <w:rPr>
          <w:rFonts w:asciiTheme="majorHAnsi" w:hAnsiTheme="majorHAnsi"/>
          <w:b/>
          <w:bCs/>
          <w:sz w:val="32"/>
          <w:szCs w:val="32"/>
        </w:rPr>
      </w:pPr>
    </w:p>
    <w:p w14:paraId="3A639190" w14:textId="77777777" w:rsidR="00205D44" w:rsidRPr="002C0F0D" w:rsidRDefault="00286BE1" w:rsidP="002C0F0D">
      <w:pPr>
        <w:tabs>
          <w:tab w:val="num" w:pos="1701"/>
        </w:tabs>
        <w:autoSpaceDE w:val="0"/>
        <w:autoSpaceDN w:val="0"/>
        <w:adjustRightInd w:val="0"/>
        <w:spacing w:after="120"/>
        <w:rPr>
          <w:rFonts w:ascii="Garamond" w:hAnsi="Garamond"/>
          <w:sz w:val="24"/>
          <w:szCs w:val="28"/>
          <w:lang w:val="en-GB"/>
        </w:rPr>
      </w:pPr>
      <w:r w:rsidRPr="002C0F0D">
        <w:rPr>
          <w:rFonts w:ascii="Garamond" w:hAnsi="Garamond"/>
          <w:sz w:val="24"/>
          <w:szCs w:val="28"/>
          <w:lang w:val="en-GB"/>
        </w:rPr>
        <w:t xml:space="preserve">This summary provides a concise overview of the key findings and recommendations of </w:t>
      </w:r>
      <w:r w:rsidRPr="002C0F0D">
        <w:rPr>
          <w:rFonts w:ascii="Garamond" w:eastAsiaTheme="minorEastAsia" w:hAnsi="Garamond" w:cs="Segoe UI"/>
          <w:sz w:val="24"/>
          <w:lang w:val="en-GB" w:eastAsia="zh-CN"/>
        </w:rPr>
        <w:t>the Peer Review conducted by the United Nations Environment Management Group</w:t>
      </w:r>
      <w:r w:rsidRPr="002C0F0D">
        <w:rPr>
          <w:rFonts w:ascii="Garamond" w:hAnsi="Garamond"/>
          <w:sz w:val="24"/>
          <w:lang w:val="en-GB"/>
        </w:rPr>
        <w:t xml:space="preserve"> (EMG)</w:t>
      </w:r>
      <w:r w:rsidR="00117E7E" w:rsidRPr="002C0F0D">
        <w:rPr>
          <w:rFonts w:ascii="Garamond" w:hAnsi="Garamond"/>
          <w:sz w:val="24"/>
          <w:lang w:val="en-GB"/>
        </w:rPr>
        <w:t>,</w:t>
      </w:r>
      <w:r w:rsidRPr="002C0F0D">
        <w:rPr>
          <w:rFonts w:ascii="Garamond" w:hAnsi="Garamond"/>
          <w:sz w:val="24"/>
          <w:lang w:val="en-GB"/>
        </w:rPr>
        <w:t xml:space="preserve"> of the corporate environmental management of the United Nations Relief and Works Agency for Palestine refugees in the Near East (UNRWA)</w:t>
      </w:r>
      <w:r w:rsidR="00FC2916" w:rsidRPr="002C0F0D">
        <w:rPr>
          <w:rFonts w:ascii="Garamond" w:hAnsi="Garamond"/>
          <w:sz w:val="24"/>
          <w:lang w:val="en-GB"/>
        </w:rPr>
        <w:t>, at their</w:t>
      </w:r>
      <w:r w:rsidR="0069768A" w:rsidRPr="002C0F0D">
        <w:rPr>
          <w:rFonts w:ascii="Garamond" w:hAnsi="Garamond"/>
          <w:sz w:val="24"/>
          <w:lang w:val="en-GB"/>
        </w:rPr>
        <w:t xml:space="preserve"> headquarters and field o</w:t>
      </w:r>
      <w:r w:rsidRPr="002C0F0D">
        <w:rPr>
          <w:rFonts w:ascii="Garamond" w:hAnsi="Garamond"/>
          <w:sz w:val="24"/>
          <w:lang w:val="en-GB"/>
        </w:rPr>
        <w:t>ffice in Amman, Jordan</w:t>
      </w:r>
      <w:r w:rsidRPr="002C0F0D">
        <w:rPr>
          <w:rFonts w:ascii="Garamond" w:hAnsi="Garamond"/>
          <w:sz w:val="24"/>
          <w:szCs w:val="28"/>
          <w:lang w:val="en-GB"/>
        </w:rPr>
        <w:t xml:space="preserve">. The purpose of this summary is to convey the lessons learned and possible areas for future collaboration by other UN agencies. </w:t>
      </w:r>
    </w:p>
    <w:p w14:paraId="09A5ECBC" w14:textId="0A03485D" w:rsidR="00286BE1" w:rsidRPr="002C0F0D" w:rsidRDefault="00286BE1" w:rsidP="002C0F0D">
      <w:pPr>
        <w:tabs>
          <w:tab w:val="num" w:pos="1701"/>
        </w:tabs>
        <w:autoSpaceDE w:val="0"/>
        <w:autoSpaceDN w:val="0"/>
        <w:adjustRightInd w:val="0"/>
        <w:spacing w:after="120"/>
        <w:rPr>
          <w:rStyle w:val="Hyperlink"/>
          <w:rFonts w:ascii="Garamond" w:hAnsi="Garamond"/>
          <w:sz w:val="24"/>
          <w:szCs w:val="28"/>
          <w:lang w:val="en-GB"/>
        </w:rPr>
      </w:pPr>
      <w:r w:rsidRPr="002C0F0D">
        <w:rPr>
          <w:rFonts w:ascii="Garamond" w:hAnsi="Garamond"/>
          <w:sz w:val="24"/>
          <w:szCs w:val="28"/>
          <w:lang w:val="en-GB"/>
        </w:rPr>
        <w:t xml:space="preserve">For more detailed information on the report please contact the EMG Secretariat at </w:t>
      </w:r>
      <w:hyperlink r:id="rId7" w:history="1">
        <w:r w:rsidR="00205D44" w:rsidRPr="002C0F0D">
          <w:rPr>
            <w:rStyle w:val="Hyperlink"/>
            <w:rFonts w:ascii="Garamond" w:hAnsi="Garamond"/>
            <w:sz w:val="24"/>
            <w:szCs w:val="28"/>
            <w:lang w:val="en-GB"/>
          </w:rPr>
          <w:t>emg@un.org</w:t>
        </w:r>
      </w:hyperlink>
    </w:p>
    <w:p w14:paraId="3D778C56" w14:textId="03047C7C" w:rsidR="00A35BC8" w:rsidRPr="002C0F0D" w:rsidRDefault="00A35BC8" w:rsidP="002C0F0D">
      <w:pPr>
        <w:spacing w:after="240"/>
        <w:rPr>
          <w:rFonts w:ascii="Garamond" w:hAnsi="Garamond"/>
          <w:b/>
          <w:bCs/>
          <w:i/>
          <w:iCs/>
          <w:sz w:val="24"/>
          <w:lang w:val="en-GB"/>
        </w:rPr>
      </w:pPr>
      <w:r w:rsidRPr="002C0F0D">
        <w:rPr>
          <w:rStyle w:val="Heading2Char"/>
          <w:b/>
          <w:bCs/>
          <w:sz w:val="28"/>
          <w:szCs w:val="28"/>
          <w:lang w:val="en-GB"/>
        </w:rPr>
        <w:t>SUBTITLE 1:</w:t>
      </w:r>
      <w:r w:rsidRPr="002C0F0D">
        <w:rPr>
          <w:rFonts w:ascii="Garamond" w:hAnsi="Garamond"/>
          <w:b/>
          <w:bCs/>
          <w:sz w:val="24"/>
          <w:lang w:val="en-GB"/>
        </w:rPr>
        <w:t xml:space="preserve"> </w:t>
      </w:r>
      <w:r w:rsidRPr="002C0F0D">
        <w:rPr>
          <w:rFonts w:ascii="Garamond" w:hAnsi="Garamond"/>
          <w:b/>
          <w:bCs/>
          <w:i/>
          <w:iCs/>
          <w:sz w:val="28"/>
          <w:szCs w:val="28"/>
          <w:lang w:val="en-GB"/>
        </w:rPr>
        <w:t>The Peer Review Process</w:t>
      </w:r>
    </w:p>
    <w:p w14:paraId="5C413B85" w14:textId="0AE5E138" w:rsidR="00205D44" w:rsidRPr="002C0F0D" w:rsidRDefault="00205D44" w:rsidP="00C01758">
      <w:pPr>
        <w:autoSpaceDE w:val="0"/>
        <w:autoSpaceDN w:val="0"/>
        <w:adjustRightInd w:val="0"/>
        <w:spacing w:after="0"/>
        <w:rPr>
          <w:rFonts w:ascii="Garamond" w:eastAsiaTheme="minorEastAsia" w:hAnsi="Garamond" w:cs="Roboto-Regular"/>
          <w:color w:val="auto"/>
          <w:sz w:val="24"/>
          <w:lang w:val="en-US" w:eastAsia="zh-CN"/>
        </w:rPr>
      </w:pPr>
      <w:r w:rsidRPr="002C0F0D">
        <w:rPr>
          <w:rFonts w:ascii="Garamond" w:eastAsiaTheme="minorEastAsia" w:hAnsi="Garamond" w:cs="Roboto-Regular"/>
          <w:color w:val="auto"/>
          <w:sz w:val="24"/>
          <w:lang w:val="en-US" w:eastAsia="zh-CN"/>
        </w:rPr>
        <w:t xml:space="preserve">The Peer Review Process was initiated in 2012 by the </w:t>
      </w:r>
      <w:r w:rsidR="00C01758">
        <w:rPr>
          <w:rFonts w:ascii="Garamond" w:eastAsiaTheme="minorEastAsia" w:hAnsi="Garamond" w:cs="Roboto-Regular"/>
          <w:color w:val="auto"/>
          <w:sz w:val="24"/>
          <w:lang w:val="en-US" w:eastAsia="zh-CN"/>
        </w:rPr>
        <w:t>UN</w:t>
      </w:r>
      <w:r w:rsidRPr="002C0F0D">
        <w:rPr>
          <w:rFonts w:ascii="Garamond" w:eastAsiaTheme="minorEastAsia" w:hAnsi="Garamond" w:cs="Roboto-Regular"/>
          <w:color w:val="auto"/>
          <w:sz w:val="24"/>
          <w:lang w:val="en-US" w:eastAsia="zh-CN"/>
        </w:rPr>
        <w:t xml:space="preserve"> Environment Management Group (EMG). The Project aims to review the environmental sustainability profile and performance of UN and related agencies. Peer reviewing refers to one or more agencies reviewing the environmental performance of fellow agencies’ facilities and internal operations.</w:t>
      </w:r>
    </w:p>
    <w:p w14:paraId="4D954EE8" w14:textId="77777777" w:rsidR="00205D44" w:rsidRPr="002C0F0D" w:rsidRDefault="00205D44" w:rsidP="002C0F0D">
      <w:pPr>
        <w:autoSpaceDE w:val="0"/>
        <w:autoSpaceDN w:val="0"/>
        <w:adjustRightInd w:val="0"/>
        <w:spacing w:after="0"/>
        <w:rPr>
          <w:rFonts w:ascii="Garamond" w:eastAsiaTheme="minorEastAsia" w:hAnsi="Garamond" w:cs="Roboto-Regular"/>
          <w:color w:val="auto"/>
          <w:sz w:val="24"/>
          <w:lang w:val="en-US" w:eastAsia="zh-CN"/>
        </w:rPr>
      </w:pPr>
    </w:p>
    <w:p w14:paraId="65BE829E" w14:textId="50FC856A" w:rsidR="00205D44" w:rsidRPr="002C0F0D" w:rsidRDefault="00205D44" w:rsidP="002C0F0D">
      <w:pPr>
        <w:autoSpaceDE w:val="0"/>
        <w:autoSpaceDN w:val="0"/>
        <w:adjustRightInd w:val="0"/>
        <w:spacing w:after="0"/>
        <w:rPr>
          <w:rFonts w:ascii="Garamond" w:eastAsiaTheme="minorEastAsia" w:hAnsi="Garamond" w:cs="Roboto-Regular"/>
          <w:color w:val="auto"/>
          <w:sz w:val="24"/>
          <w:lang w:val="en-US" w:eastAsia="zh-CN"/>
        </w:rPr>
      </w:pPr>
      <w:r w:rsidRPr="002C0F0D">
        <w:rPr>
          <w:rFonts w:ascii="Garamond" w:eastAsiaTheme="minorEastAsia" w:hAnsi="Garamond" w:cs="Roboto-Regular"/>
          <w:color w:val="auto"/>
          <w:sz w:val="24"/>
          <w:lang w:val="en-US" w:eastAsia="zh-CN"/>
        </w:rPr>
        <w:t>The Peer Review is undertaken by Peer Review Teams comprising technical experts and representatives of UN entities, international organizations and local government authorities, with support and coordination provided by the EMG Secretariat. The Peer Review Team analyses data and information provided by the reviewed agency based on site visits to the reviewed facility(ies). Achievements, challenges, good practices and lessons learned in approaches to corporate environmental management are then identified and compiled into a Peer Review Report, along with proposed recommendations. These recommendations focus on how the environmental performance of the reviewed entity could be improved whilst enhancing their resource efficiency and economic and social sustainability.</w:t>
      </w:r>
    </w:p>
    <w:p w14:paraId="20976CAD" w14:textId="77777777" w:rsidR="00205D44" w:rsidRPr="002C0F0D" w:rsidRDefault="00205D44" w:rsidP="002C0F0D">
      <w:pPr>
        <w:autoSpaceDE w:val="0"/>
        <w:autoSpaceDN w:val="0"/>
        <w:adjustRightInd w:val="0"/>
        <w:spacing w:after="0"/>
        <w:rPr>
          <w:rFonts w:ascii="Garamond" w:eastAsiaTheme="minorEastAsia" w:hAnsi="Garamond" w:cs="Roboto-Regular"/>
          <w:color w:val="auto"/>
          <w:sz w:val="24"/>
          <w:lang w:val="en-US" w:eastAsia="zh-CN"/>
        </w:rPr>
      </w:pPr>
    </w:p>
    <w:p w14:paraId="7FFF6CB2" w14:textId="2EDBB320" w:rsidR="00BE247A" w:rsidRPr="002C0F0D" w:rsidRDefault="00BE247A" w:rsidP="002C0F0D">
      <w:pPr>
        <w:spacing w:after="240"/>
        <w:rPr>
          <w:rFonts w:ascii="Garamond" w:hAnsi="Garamond"/>
          <w:b/>
          <w:bCs/>
          <w:i/>
          <w:iCs/>
          <w:sz w:val="28"/>
          <w:szCs w:val="28"/>
          <w:lang w:val="en-GB"/>
        </w:rPr>
      </w:pPr>
      <w:r w:rsidRPr="002C0F0D">
        <w:rPr>
          <w:rStyle w:val="Heading2Char"/>
          <w:b/>
          <w:bCs/>
          <w:sz w:val="28"/>
          <w:szCs w:val="28"/>
          <w:lang w:val="en-GB"/>
        </w:rPr>
        <w:t>SUBTITLE 2:</w:t>
      </w:r>
      <w:r w:rsidRPr="002C0F0D">
        <w:rPr>
          <w:rFonts w:ascii="Garamond" w:hAnsi="Garamond"/>
          <w:b/>
          <w:bCs/>
          <w:sz w:val="24"/>
          <w:lang w:val="en-GB"/>
        </w:rPr>
        <w:t xml:space="preserve"> </w:t>
      </w:r>
      <w:r w:rsidR="00944842" w:rsidRPr="002C0F0D">
        <w:rPr>
          <w:rFonts w:ascii="Garamond" w:hAnsi="Garamond"/>
          <w:b/>
          <w:bCs/>
          <w:i/>
          <w:iCs/>
          <w:sz w:val="24"/>
          <w:lang w:val="en-GB"/>
        </w:rPr>
        <w:t xml:space="preserve">A </w:t>
      </w:r>
      <w:r w:rsidR="00782A39" w:rsidRPr="002C0F0D">
        <w:rPr>
          <w:rFonts w:ascii="Garamond" w:hAnsi="Garamond"/>
          <w:b/>
          <w:bCs/>
          <w:i/>
          <w:iCs/>
          <w:sz w:val="24"/>
          <w:lang w:val="en-GB"/>
        </w:rPr>
        <w:t>Peer R</w:t>
      </w:r>
      <w:r w:rsidR="00944842" w:rsidRPr="002C0F0D">
        <w:rPr>
          <w:rFonts w:ascii="Garamond" w:hAnsi="Garamond"/>
          <w:b/>
          <w:bCs/>
          <w:i/>
          <w:iCs/>
          <w:sz w:val="24"/>
          <w:lang w:val="en-GB"/>
        </w:rPr>
        <w:t>eview</w:t>
      </w:r>
      <w:r w:rsidRPr="002C0F0D">
        <w:rPr>
          <w:rFonts w:ascii="Garamond" w:hAnsi="Garamond"/>
          <w:b/>
          <w:bCs/>
          <w:i/>
          <w:iCs/>
          <w:sz w:val="24"/>
          <w:lang w:val="en-GB"/>
        </w:rPr>
        <w:t xml:space="preserve"> of </w:t>
      </w:r>
      <w:r w:rsidR="00FD7068" w:rsidRPr="002C0F0D">
        <w:rPr>
          <w:rFonts w:ascii="Garamond" w:hAnsi="Garamond"/>
          <w:b/>
          <w:bCs/>
          <w:i/>
          <w:iCs/>
          <w:sz w:val="28"/>
          <w:szCs w:val="28"/>
          <w:lang w:val="en-GB"/>
        </w:rPr>
        <w:t>UNRWA</w:t>
      </w:r>
    </w:p>
    <w:p w14:paraId="6DFCCEB5" w14:textId="029701F6" w:rsidR="00251E0B" w:rsidRPr="002C0F0D" w:rsidRDefault="0069768A" w:rsidP="004240DD">
      <w:pPr>
        <w:spacing w:after="240"/>
        <w:rPr>
          <w:rFonts w:ascii="Garamond" w:hAnsi="Garamond"/>
          <w:sz w:val="24"/>
          <w:lang w:val="en-GB"/>
        </w:rPr>
      </w:pPr>
      <w:r w:rsidRPr="002C0F0D">
        <w:rPr>
          <w:rFonts w:ascii="Garamond" w:hAnsi="Garamond"/>
          <w:sz w:val="24"/>
          <w:lang w:val="en-GB"/>
        </w:rPr>
        <w:t xml:space="preserve">The headquarters and Amman field office of UNRWA </w:t>
      </w:r>
      <w:r w:rsidR="00367038" w:rsidRPr="002C0F0D">
        <w:rPr>
          <w:rFonts w:ascii="Garamond" w:hAnsi="Garamond"/>
          <w:sz w:val="24"/>
          <w:lang w:val="en-GB"/>
        </w:rPr>
        <w:t>are located</w:t>
      </w:r>
      <w:r w:rsidR="004240DD">
        <w:rPr>
          <w:rFonts w:ascii="Garamond" w:hAnsi="Garamond"/>
          <w:sz w:val="24"/>
          <w:lang w:val="en-GB"/>
        </w:rPr>
        <w:t xml:space="preserve"> close to each other</w:t>
      </w:r>
      <w:r w:rsidR="00367038" w:rsidRPr="002C0F0D">
        <w:rPr>
          <w:rFonts w:ascii="Garamond" w:hAnsi="Garamond"/>
          <w:sz w:val="24"/>
          <w:lang w:val="en-GB"/>
        </w:rPr>
        <w:t>, with the</w:t>
      </w:r>
      <w:r w:rsidRPr="002C0F0D">
        <w:rPr>
          <w:rFonts w:ascii="Garamond" w:hAnsi="Garamond"/>
          <w:sz w:val="24"/>
          <w:lang w:val="en-GB"/>
        </w:rPr>
        <w:t xml:space="preserve"> headquarters </w:t>
      </w:r>
      <w:r w:rsidR="00367038" w:rsidRPr="002C0F0D">
        <w:rPr>
          <w:rFonts w:ascii="Garamond" w:hAnsi="Garamond"/>
          <w:sz w:val="24"/>
          <w:lang w:val="en-GB"/>
        </w:rPr>
        <w:t>comprising</w:t>
      </w:r>
      <w:r w:rsidRPr="002C0F0D">
        <w:rPr>
          <w:rFonts w:ascii="Garamond" w:hAnsi="Garamond"/>
          <w:sz w:val="24"/>
          <w:lang w:val="en-GB"/>
        </w:rPr>
        <w:t xml:space="preserve"> seven office blocks made up of a combination </w:t>
      </w:r>
      <w:r w:rsidR="00A5051C" w:rsidRPr="002C0F0D">
        <w:rPr>
          <w:rFonts w:ascii="Garamond" w:hAnsi="Garamond"/>
          <w:sz w:val="24"/>
          <w:lang w:val="en-GB"/>
        </w:rPr>
        <w:t xml:space="preserve">of </w:t>
      </w:r>
      <w:r w:rsidRPr="002C0F0D">
        <w:rPr>
          <w:rFonts w:ascii="Garamond" w:hAnsi="Garamond"/>
          <w:sz w:val="24"/>
          <w:lang w:val="en-GB"/>
        </w:rPr>
        <w:t xml:space="preserve">structures built in the </w:t>
      </w:r>
      <w:r w:rsidR="00A5051C" w:rsidRPr="002C0F0D">
        <w:rPr>
          <w:rFonts w:ascii="Garamond" w:hAnsi="Garamond"/>
          <w:sz w:val="24"/>
          <w:lang w:val="en-GB"/>
        </w:rPr>
        <w:t>1950s, 1990s and 2000s</w:t>
      </w:r>
      <w:r w:rsidR="00367038" w:rsidRPr="002C0F0D">
        <w:rPr>
          <w:rFonts w:ascii="Garamond" w:hAnsi="Garamond"/>
          <w:sz w:val="24"/>
          <w:lang w:val="en-GB"/>
        </w:rPr>
        <w:t>. The total area of UNRWA’s headquarters is 6404.4 m</w:t>
      </w:r>
      <w:r w:rsidR="00367038" w:rsidRPr="002C0F0D">
        <w:rPr>
          <w:rFonts w:ascii="Garamond" w:hAnsi="Garamond"/>
          <w:sz w:val="24"/>
          <w:vertAlign w:val="superscript"/>
          <w:lang w:val="en-GB"/>
        </w:rPr>
        <w:t>2</w:t>
      </w:r>
      <w:r w:rsidR="00367038" w:rsidRPr="002C0F0D">
        <w:rPr>
          <w:rFonts w:ascii="Garamond" w:hAnsi="Garamond"/>
          <w:sz w:val="24"/>
          <w:lang w:val="en-GB"/>
        </w:rPr>
        <w:t xml:space="preserve">. The nearby field office is </w:t>
      </w:r>
      <w:r w:rsidR="00F65411" w:rsidRPr="002C0F0D">
        <w:rPr>
          <w:rFonts w:ascii="Garamond" w:hAnsi="Garamond"/>
          <w:sz w:val="24"/>
          <w:lang w:val="en-GB"/>
        </w:rPr>
        <w:t>slightly smaller</w:t>
      </w:r>
      <w:r w:rsidR="00367038" w:rsidRPr="002C0F0D">
        <w:rPr>
          <w:rFonts w:ascii="Garamond" w:hAnsi="Garamond"/>
          <w:sz w:val="24"/>
          <w:lang w:val="en-GB"/>
        </w:rPr>
        <w:t>, at 5,560 m</w:t>
      </w:r>
      <w:r w:rsidR="00367038" w:rsidRPr="002C0F0D">
        <w:rPr>
          <w:rFonts w:ascii="Garamond" w:hAnsi="Garamond"/>
          <w:sz w:val="24"/>
          <w:vertAlign w:val="superscript"/>
          <w:lang w:val="en-GB"/>
        </w:rPr>
        <w:t>2</w:t>
      </w:r>
      <w:r w:rsidR="007D7144" w:rsidRPr="002C0F0D">
        <w:rPr>
          <w:rFonts w:ascii="Garamond" w:hAnsi="Garamond"/>
          <w:sz w:val="24"/>
          <w:lang w:val="en-GB"/>
        </w:rPr>
        <w:t xml:space="preserve">, with the </w:t>
      </w:r>
      <w:r w:rsidR="00F65411" w:rsidRPr="002C0F0D">
        <w:rPr>
          <w:rFonts w:ascii="Garamond" w:hAnsi="Garamond"/>
          <w:sz w:val="24"/>
          <w:lang w:val="en-GB"/>
        </w:rPr>
        <w:t xml:space="preserve">primary function </w:t>
      </w:r>
      <w:r w:rsidR="007D7144" w:rsidRPr="002C0F0D">
        <w:rPr>
          <w:rFonts w:ascii="Garamond" w:hAnsi="Garamond"/>
          <w:sz w:val="24"/>
          <w:lang w:val="en-GB"/>
        </w:rPr>
        <w:t xml:space="preserve">as an office building. </w:t>
      </w:r>
    </w:p>
    <w:p w14:paraId="279FB4F8" w14:textId="7632F4A9" w:rsidR="00251E0B" w:rsidRPr="002C0F0D" w:rsidRDefault="00251E0B" w:rsidP="002C0F0D">
      <w:pPr>
        <w:spacing w:after="240"/>
        <w:rPr>
          <w:rFonts w:ascii="Garamond" w:hAnsi="Garamond"/>
          <w:sz w:val="24"/>
          <w:lang w:val="en-GB"/>
        </w:rPr>
      </w:pPr>
      <w:r w:rsidRPr="002C0F0D">
        <w:rPr>
          <w:rFonts w:ascii="Garamond" w:hAnsi="Garamond"/>
          <w:sz w:val="24"/>
          <w:lang w:val="en-GB"/>
        </w:rPr>
        <w:t>A</w:t>
      </w:r>
      <w:r w:rsidR="007D7144" w:rsidRPr="002C0F0D">
        <w:rPr>
          <w:rFonts w:ascii="Garamond" w:hAnsi="Garamond"/>
          <w:sz w:val="24"/>
          <w:lang w:val="en-GB"/>
        </w:rPr>
        <w:t xml:space="preserve"> </w:t>
      </w:r>
      <w:r w:rsidRPr="002C0F0D">
        <w:rPr>
          <w:rFonts w:ascii="Garamond" w:hAnsi="Garamond"/>
          <w:sz w:val="24"/>
          <w:lang w:val="en-GB"/>
        </w:rPr>
        <w:t xml:space="preserve">4-day site visit </w:t>
      </w:r>
      <w:r w:rsidR="007D7144" w:rsidRPr="002C0F0D">
        <w:rPr>
          <w:rFonts w:ascii="Garamond" w:hAnsi="Garamond"/>
          <w:sz w:val="24"/>
          <w:lang w:val="en-GB"/>
        </w:rPr>
        <w:t xml:space="preserve">was conducted </w:t>
      </w:r>
      <w:r w:rsidRPr="002C0F0D">
        <w:rPr>
          <w:rFonts w:ascii="Garamond" w:hAnsi="Garamond"/>
          <w:sz w:val="24"/>
          <w:lang w:val="en-GB"/>
        </w:rPr>
        <w:t xml:space="preserve">from 4-7 December 2016. The </w:t>
      </w:r>
      <w:r w:rsidR="007D7144" w:rsidRPr="002C0F0D">
        <w:rPr>
          <w:rFonts w:ascii="Garamond" w:hAnsi="Garamond"/>
          <w:sz w:val="24"/>
          <w:lang w:val="en-GB"/>
        </w:rPr>
        <w:t>UNRWA</w:t>
      </w:r>
      <w:r w:rsidRPr="002C0F0D">
        <w:rPr>
          <w:rFonts w:ascii="Garamond" w:hAnsi="Garamond"/>
          <w:sz w:val="24"/>
          <w:lang w:val="en-GB"/>
        </w:rPr>
        <w:t xml:space="preserve"> review included reviewers from the EMG Secretariat, UNDP, UN Environment, UNICEF, UNOPS and the World Bank. The following topics were chosen by </w:t>
      </w:r>
      <w:r w:rsidR="007D7144" w:rsidRPr="002C0F0D">
        <w:rPr>
          <w:rFonts w:ascii="Garamond" w:hAnsi="Garamond"/>
          <w:sz w:val="24"/>
          <w:lang w:val="en-GB"/>
        </w:rPr>
        <w:t>UNRWA</w:t>
      </w:r>
      <w:r w:rsidR="003A6A56">
        <w:rPr>
          <w:rFonts w:ascii="Garamond" w:hAnsi="Garamond"/>
          <w:sz w:val="24"/>
          <w:lang w:val="en-GB"/>
        </w:rPr>
        <w:t xml:space="preserve"> </w:t>
      </w:r>
      <w:r w:rsidR="003A6A56" w:rsidRPr="002C0F0D">
        <w:rPr>
          <w:rFonts w:ascii="Garamond" w:hAnsi="Garamond"/>
          <w:sz w:val="24"/>
          <w:lang w:val="en-GB"/>
        </w:rPr>
        <w:t>to be reviewed against</w:t>
      </w:r>
      <w:r w:rsidRPr="002C0F0D">
        <w:rPr>
          <w:rFonts w:ascii="Garamond" w:hAnsi="Garamond"/>
          <w:sz w:val="24"/>
          <w:lang w:val="en-GB"/>
        </w:rPr>
        <w:t>:</w:t>
      </w:r>
    </w:p>
    <w:p w14:paraId="06405EA3" w14:textId="0D298E71" w:rsidR="00642107" w:rsidRPr="002C0F0D" w:rsidRDefault="00642107" w:rsidP="002C0F0D">
      <w:pPr>
        <w:pStyle w:val="ListParagraph"/>
        <w:numPr>
          <w:ilvl w:val="0"/>
          <w:numId w:val="2"/>
        </w:numPr>
        <w:spacing w:after="240"/>
        <w:rPr>
          <w:rFonts w:ascii="Garamond" w:hAnsi="Garamond"/>
          <w:sz w:val="24"/>
          <w:szCs w:val="24"/>
        </w:rPr>
      </w:pPr>
      <w:r w:rsidRPr="002C0F0D">
        <w:rPr>
          <w:rFonts w:ascii="Garamond" w:hAnsi="Garamond"/>
          <w:sz w:val="24"/>
          <w:szCs w:val="24"/>
        </w:rPr>
        <w:t xml:space="preserve">Greenhouse gas </w:t>
      </w:r>
      <w:r w:rsidR="00425F5D" w:rsidRPr="002C0F0D">
        <w:rPr>
          <w:rFonts w:ascii="Garamond" w:hAnsi="Garamond"/>
          <w:sz w:val="24"/>
          <w:szCs w:val="24"/>
        </w:rPr>
        <w:t xml:space="preserve">(GHG) </w:t>
      </w:r>
      <w:r w:rsidRPr="002C0F0D">
        <w:rPr>
          <w:rFonts w:ascii="Garamond" w:hAnsi="Garamond"/>
          <w:sz w:val="24"/>
          <w:szCs w:val="24"/>
        </w:rPr>
        <w:t>emissions from facilities</w:t>
      </w:r>
    </w:p>
    <w:p w14:paraId="6E7B5260" w14:textId="5FD3147F" w:rsidR="00642107" w:rsidRPr="002C0F0D" w:rsidRDefault="00642107" w:rsidP="002C0F0D">
      <w:pPr>
        <w:pStyle w:val="ListParagraph"/>
        <w:numPr>
          <w:ilvl w:val="0"/>
          <w:numId w:val="2"/>
        </w:numPr>
        <w:spacing w:after="240"/>
        <w:rPr>
          <w:rFonts w:ascii="Garamond" w:hAnsi="Garamond"/>
          <w:sz w:val="24"/>
          <w:szCs w:val="24"/>
        </w:rPr>
      </w:pPr>
      <w:r w:rsidRPr="002C0F0D">
        <w:rPr>
          <w:rFonts w:ascii="Garamond" w:hAnsi="Garamond"/>
          <w:sz w:val="24"/>
          <w:szCs w:val="24"/>
        </w:rPr>
        <w:t xml:space="preserve">Greenhouse gas </w:t>
      </w:r>
      <w:r w:rsidR="00215784" w:rsidRPr="002C0F0D">
        <w:rPr>
          <w:rFonts w:ascii="Garamond" w:hAnsi="Garamond"/>
          <w:sz w:val="24"/>
          <w:szCs w:val="24"/>
        </w:rPr>
        <w:t xml:space="preserve">(GHG) </w:t>
      </w:r>
      <w:r w:rsidRPr="002C0F0D">
        <w:rPr>
          <w:rFonts w:ascii="Garamond" w:hAnsi="Garamond"/>
          <w:sz w:val="24"/>
          <w:szCs w:val="24"/>
        </w:rPr>
        <w:t>emissions from transportation</w:t>
      </w:r>
    </w:p>
    <w:p w14:paraId="3FC62DFE" w14:textId="4578E679" w:rsidR="00EF2EB8" w:rsidRPr="002C0F0D" w:rsidRDefault="00EF2EB8" w:rsidP="002C0F0D">
      <w:pPr>
        <w:pStyle w:val="ListParagraph"/>
        <w:numPr>
          <w:ilvl w:val="0"/>
          <w:numId w:val="2"/>
        </w:numPr>
        <w:spacing w:after="240"/>
        <w:rPr>
          <w:rFonts w:ascii="Garamond" w:hAnsi="Garamond"/>
          <w:sz w:val="24"/>
          <w:szCs w:val="24"/>
        </w:rPr>
      </w:pPr>
      <w:r w:rsidRPr="002C0F0D">
        <w:rPr>
          <w:rFonts w:ascii="Garamond" w:hAnsi="Garamond"/>
          <w:sz w:val="24"/>
          <w:szCs w:val="24"/>
        </w:rPr>
        <w:t>Communication and outreach</w:t>
      </w:r>
    </w:p>
    <w:p w14:paraId="7687BF6D" w14:textId="7C12C19F" w:rsidR="00AC5CE5" w:rsidRPr="002C0F0D" w:rsidRDefault="003461E4" w:rsidP="002C0F0D">
      <w:pPr>
        <w:spacing w:after="240"/>
        <w:rPr>
          <w:rFonts w:ascii="Garamond" w:hAnsi="Garamond"/>
          <w:sz w:val="24"/>
          <w:szCs w:val="28"/>
          <w:lang w:val="en-US"/>
        </w:rPr>
      </w:pPr>
      <w:r w:rsidRPr="002C0F0D">
        <w:rPr>
          <w:rFonts w:ascii="Garamond" w:hAnsi="Garamond"/>
          <w:sz w:val="24"/>
          <w:szCs w:val="28"/>
          <w:lang w:val="en-US"/>
        </w:rPr>
        <w:t xml:space="preserve">The assessment of GHG emissions from buildings and facilities took place in the following locations: the UNRWA headquarters, the field office, the transportation hub, a sample school and a sample health clinic. The land transportation-related GHG emissions assessment was confined to the transportation hub managed by UNRWA.  </w:t>
      </w:r>
    </w:p>
    <w:p w14:paraId="7DC741F0" w14:textId="34BAE0BA" w:rsidR="00642107" w:rsidRPr="002C0F0D" w:rsidRDefault="00642107" w:rsidP="002C0F0D">
      <w:pPr>
        <w:spacing w:after="240"/>
        <w:jc w:val="center"/>
        <w:rPr>
          <w:rFonts w:ascii="Garamond" w:hAnsi="Garamond"/>
          <w:b/>
          <w:bCs/>
          <w:sz w:val="24"/>
          <w:szCs w:val="28"/>
          <w:lang w:val="en-US"/>
        </w:rPr>
      </w:pPr>
      <w:r w:rsidRPr="002C0F0D">
        <w:rPr>
          <w:rFonts w:ascii="Garamond" w:hAnsi="Garamond"/>
          <w:b/>
          <w:bCs/>
          <w:sz w:val="24"/>
          <w:szCs w:val="28"/>
          <w:lang w:val="en-US"/>
        </w:rPr>
        <w:lastRenderedPageBreak/>
        <w:t>Gree</w:t>
      </w:r>
      <w:r w:rsidR="00782A39" w:rsidRPr="002C0F0D">
        <w:rPr>
          <w:rFonts w:ascii="Garamond" w:hAnsi="Garamond"/>
          <w:b/>
          <w:bCs/>
          <w:sz w:val="24"/>
          <w:szCs w:val="28"/>
          <w:lang w:val="en-US"/>
        </w:rPr>
        <w:t>nhouse Gas Emissions</w:t>
      </w:r>
      <w:r w:rsidR="00E338E6" w:rsidRPr="002C0F0D">
        <w:rPr>
          <w:rFonts w:ascii="Garamond" w:hAnsi="Garamond"/>
          <w:b/>
          <w:bCs/>
          <w:sz w:val="24"/>
          <w:szCs w:val="28"/>
          <w:lang w:val="en-US"/>
        </w:rPr>
        <w:t xml:space="preserve"> from Facilities</w:t>
      </w:r>
      <w:r w:rsidR="00782A39" w:rsidRPr="002C0F0D">
        <w:rPr>
          <w:rFonts w:ascii="Garamond" w:hAnsi="Garamond"/>
          <w:b/>
          <w:bCs/>
          <w:sz w:val="24"/>
          <w:szCs w:val="28"/>
          <w:lang w:val="en-US"/>
        </w:rPr>
        <w:t xml:space="preserve"> </w:t>
      </w:r>
    </w:p>
    <w:p w14:paraId="6039846E" w14:textId="77777777" w:rsidR="00C1050F" w:rsidRPr="002C0F0D" w:rsidRDefault="00C1050F" w:rsidP="002C0F0D">
      <w:pPr>
        <w:spacing w:after="240"/>
        <w:rPr>
          <w:rFonts w:ascii="Garamond" w:hAnsi="Garamond"/>
          <w:b/>
          <w:bCs/>
          <w:i/>
          <w:iCs/>
          <w:sz w:val="28"/>
          <w:szCs w:val="28"/>
          <w:lang w:val="en-GB"/>
        </w:rPr>
      </w:pPr>
      <w:r w:rsidRPr="002C0F0D">
        <w:rPr>
          <w:rStyle w:val="Heading2Char"/>
          <w:sz w:val="28"/>
          <w:szCs w:val="28"/>
          <w:lang w:val="en-GB"/>
        </w:rPr>
        <w:t>SUBTITLE 1:</w:t>
      </w:r>
      <w:r w:rsidRPr="002C0F0D">
        <w:rPr>
          <w:rFonts w:ascii="Garamond" w:hAnsi="Garamond"/>
          <w:i/>
          <w:iCs/>
          <w:sz w:val="28"/>
          <w:szCs w:val="28"/>
          <w:lang w:val="en-GB"/>
        </w:rPr>
        <w:t xml:space="preserve"> </w:t>
      </w:r>
      <w:r w:rsidRPr="002C0F0D">
        <w:rPr>
          <w:rFonts w:ascii="Garamond" w:hAnsi="Garamond"/>
          <w:b/>
          <w:bCs/>
          <w:i/>
          <w:iCs/>
          <w:sz w:val="28"/>
          <w:szCs w:val="28"/>
          <w:lang w:val="en-GB"/>
        </w:rPr>
        <w:t xml:space="preserve">Status </w:t>
      </w:r>
    </w:p>
    <w:p w14:paraId="39254797" w14:textId="00A2AE1C" w:rsidR="00E338E6" w:rsidRPr="002C0F0D" w:rsidRDefault="00E338E6" w:rsidP="002C0F0D">
      <w:pPr>
        <w:rPr>
          <w:rFonts w:ascii="Garamond" w:hAnsi="Garamond"/>
          <w:sz w:val="24"/>
          <w:szCs w:val="28"/>
          <w:u w:val="single"/>
          <w:lang w:val="en-US"/>
        </w:rPr>
      </w:pPr>
      <w:r w:rsidRPr="002C0F0D">
        <w:rPr>
          <w:rFonts w:ascii="Garamond" w:hAnsi="Garamond"/>
          <w:sz w:val="24"/>
          <w:szCs w:val="28"/>
          <w:u w:val="single"/>
          <w:lang w:val="en-US"/>
        </w:rPr>
        <w:t>Headquarters</w:t>
      </w:r>
    </w:p>
    <w:p w14:paraId="4B58148A" w14:textId="1C997E86" w:rsidR="004744AF" w:rsidRPr="002C0F0D" w:rsidRDefault="004744AF" w:rsidP="002C0F0D">
      <w:pPr>
        <w:rPr>
          <w:rFonts w:ascii="Garamond" w:hAnsi="Garamond"/>
          <w:sz w:val="24"/>
          <w:szCs w:val="28"/>
          <w:lang w:val="en-US"/>
        </w:rPr>
      </w:pPr>
      <w:r w:rsidRPr="002C0F0D">
        <w:rPr>
          <w:rFonts w:ascii="Garamond" w:hAnsi="Garamond"/>
          <w:sz w:val="24"/>
          <w:szCs w:val="28"/>
          <w:lang w:val="en-US"/>
        </w:rPr>
        <w:t xml:space="preserve">Electricity consumption peaks during the month of August, </w:t>
      </w:r>
      <w:r w:rsidR="003A6A56">
        <w:rPr>
          <w:rFonts w:ascii="Garamond" w:hAnsi="Garamond"/>
          <w:sz w:val="24"/>
          <w:szCs w:val="28"/>
          <w:lang w:val="en-US"/>
        </w:rPr>
        <w:t>i.e.</w:t>
      </w:r>
      <w:r w:rsidRPr="002C0F0D">
        <w:rPr>
          <w:rFonts w:ascii="Garamond" w:hAnsi="Garamond"/>
          <w:sz w:val="24"/>
          <w:szCs w:val="28"/>
          <w:lang w:val="en-US"/>
        </w:rPr>
        <w:t xml:space="preserve"> the hottest month in Amman</w:t>
      </w:r>
      <w:r w:rsidR="003A6A56">
        <w:rPr>
          <w:rFonts w:ascii="Garamond" w:hAnsi="Garamond"/>
          <w:sz w:val="24"/>
          <w:szCs w:val="28"/>
          <w:lang w:val="en-US"/>
        </w:rPr>
        <w:t>: t</w:t>
      </w:r>
      <w:r w:rsidRPr="002C0F0D">
        <w:rPr>
          <w:rFonts w:ascii="Garamond" w:hAnsi="Garamond"/>
          <w:sz w:val="24"/>
          <w:szCs w:val="28"/>
          <w:lang w:val="en-US"/>
        </w:rPr>
        <w:t xml:space="preserve">his peak is likely a result of a peak cooling load around this time. During the winter months of January and February, a </w:t>
      </w:r>
      <w:r w:rsidR="009B29FB" w:rsidRPr="002C0F0D">
        <w:rPr>
          <w:rFonts w:ascii="Garamond" w:hAnsi="Garamond"/>
          <w:sz w:val="24"/>
          <w:szCs w:val="28"/>
          <w:lang w:val="en-US"/>
        </w:rPr>
        <w:t>reversible</w:t>
      </w:r>
      <w:r w:rsidRPr="002C0F0D">
        <w:rPr>
          <w:rFonts w:ascii="Garamond" w:hAnsi="Garamond"/>
          <w:sz w:val="24"/>
          <w:szCs w:val="28"/>
          <w:lang w:val="en-US"/>
        </w:rPr>
        <w:t xml:space="preserve"> air-conditioning system provides heat to the building in addition to the heat provided by diesel boilers in the facility. </w:t>
      </w:r>
    </w:p>
    <w:p w14:paraId="6E767175" w14:textId="4323A8EC" w:rsidR="004744AF" w:rsidRPr="002C0F0D" w:rsidRDefault="004744AF" w:rsidP="002C0F0D">
      <w:pPr>
        <w:rPr>
          <w:rFonts w:ascii="Garamond" w:hAnsi="Garamond"/>
          <w:sz w:val="24"/>
          <w:szCs w:val="28"/>
          <w:lang w:val="en-US"/>
        </w:rPr>
      </w:pPr>
      <w:r w:rsidRPr="002C0F0D">
        <w:rPr>
          <w:rFonts w:ascii="Garamond" w:hAnsi="Garamond"/>
          <w:sz w:val="24"/>
          <w:szCs w:val="28"/>
          <w:lang w:val="en-US"/>
        </w:rPr>
        <w:t xml:space="preserve">Lighting in the headquarters office building is made up of fluorescent bulbs with 36 Watts per tube. Each fixture has a reflective surface for better light distribution. The small power load (from plug use), comprises a mixture of desktops and electronic notebooks. All toilets are equipped with a hot water tank to provide hot water for hand washing.  </w:t>
      </w:r>
    </w:p>
    <w:p w14:paraId="32AC1B38" w14:textId="7F38830A" w:rsidR="00342449" w:rsidRPr="002C0F0D" w:rsidRDefault="00342449" w:rsidP="002C0F0D">
      <w:pPr>
        <w:pStyle w:val="Caption"/>
        <w:spacing w:line="276" w:lineRule="auto"/>
        <w:jc w:val="center"/>
        <w:rPr>
          <w:szCs w:val="22"/>
        </w:rPr>
      </w:pPr>
      <w:r w:rsidRPr="002C0F0D">
        <w:rPr>
          <w:szCs w:val="22"/>
        </w:rPr>
        <w:t>Electricity consumption per month in 2015 and 2016 (Headquarters)</w:t>
      </w:r>
    </w:p>
    <w:p w14:paraId="4FA3886B" w14:textId="350F4ADE" w:rsidR="00BE247A" w:rsidRPr="002C0F0D" w:rsidRDefault="00460FB8" w:rsidP="002C0F0D">
      <w:pPr>
        <w:tabs>
          <w:tab w:val="num" w:pos="1701"/>
        </w:tabs>
        <w:autoSpaceDE w:val="0"/>
        <w:autoSpaceDN w:val="0"/>
        <w:adjustRightInd w:val="0"/>
        <w:spacing w:before="240" w:after="120"/>
        <w:jc w:val="center"/>
        <w:rPr>
          <w:rFonts w:ascii="Garamond" w:hAnsi="Garamond"/>
          <w:sz w:val="24"/>
          <w:szCs w:val="28"/>
          <w:lang w:val="en-GB"/>
        </w:rPr>
      </w:pPr>
      <w:r w:rsidRPr="002C0F0D">
        <w:rPr>
          <w:noProof/>
          <w:sz w:val="24"/>
          <w:szCs w:val="28"/>
          <w:lang w:val="en-US" w:eastAsia="zh-CN"/>
        </w:rPr>
        <w:drawing>
          <wp:inline distT="0" distB="0" distL="0" distR="0" wp14:anchorId="39B4E6DF" wp14:editId="3A438528">
            <wp:extent cx="4984115" cy="2714625"/>
            <wp:effectExtent l="0" t="0" r="6985" b="9525"/>
            <wp:docPr id="220162" name="Chart 220162">
              <a:extLst xmlns:a="http://schemas.openxmlformats.org/drawingml/2006/main">
                <a:ext uri="{FF2B5EF4-FFF2-40B4-BE49-F238E27FC236}">
                  <a16:creationId xmlns:a16="http://schemas.microsoft.com/office/drawing/2014/main" id="{A881EA8F-845B-4024-8B9D-5BB3BF0761A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4AC2232" w14:textId="65739721" w:rsidR="00C47F4E" w:rsidRPr="002C0F0D" w:rsidRDefault="00C47F4E" w:rsidP="002C0F0D">
      <w:pPr>
        <w:rPr>
          <w:rFonts w:ascii="Garamond" w:hAnsi="Garamond"/>
          <w:sz w:val="24"/>
          <w:szCs w:val="28"/>
          <w:lang w:val="en-US"/>
        </w:rPr>
      </w:pPr>
      <w:r w:rsidRPr="002C0F0D">
        <w:rPr>
          <w:rFonts w:ascii="Garamond" w:hAnsi="Garamond"/>
          <w:sz w:val="24"/>
          <w:szCs w:val="28"/>
          <w:lang w:val="en-US"/>
        </w:rPr>
        <w:t>Some 24% of the annual energy cost</w:t>
      </w:r>
      <w:r w:rsidR="00DC017A" w:rsidRPr="002C0F0D">
        <w:rPr>
          <w:rFonts w:ascii="Garamond" w:hAnsi="Garamond"/>
          <w:sz w:val="24"/>
          <w:szCs w:val="28"/>
          <w:lang w:val="en-US"/>
        </w:rPr>
        <w:t>s</w:t>
      </w:r>
      <w:r w:rsidRPr="002C0F0D">
        <w:rPr>
          <w:rFonts w:ascii="Garamond" w:hAnsi="Garamond"/>
          <w:sz w:val="24"/>
          <w:szCs w:val="28"/>
          <w:lang w:val="en-US"/>
        </w:rPr>
        <w:t xml:space="preserve"> borne by UNRWA </w:t>
      </w:r>
      <w:r w:rsidR="00262A37" w:rsidRPr="002C0F0D">
        <w:rPr>
          <w:rFonts w:ascii="Garamond" w:hAnsi="Garamond"/>
          <w:sz w:val="24"/>
          <w:szCs w:val="28"/>
          <w:lang w:val="en-US"/>
        </w:rPr>
        <w:t>are</w:t>
      </w:r>
      <w:r w:rsidRPr="002C0F0D">
        <w:rPr>
          <w:rFonts w:ascii="Garamond" w:hAnsi="Garamond"/>
          <w:sz w:val="24"/>
          <w:szCs w:val="28"/>
          <w:lang w:val="en-US"/>
        </w:rPr>
        <w:t xml:space="preserve"> accounted for through office cooling, whilst 5% can be attributed to plug loads in the corridors (including large printers, water dispensers and hot water for toilets)</w:t>
      </w:r>
      <w:r w:rsidR="00121F0F" w:rsidRPr="002C0F0D">
        <w:rPr>
          <w:rFonts w:ascii="Garamond" w:hAnsi="Garamond"/>
          <w:sz w:val="24"/>
          <w:szCs w:val="28"/>
          <w:lang w:val="en-US"/>
        </w:rPr>
        <w:t xml:space="preserve">. At the same time, indoor lighting (offices and corridors) amounts to 27%, whilst outdoor lights result in 2% of energy costs.  </w:t>
      </w:r>
    </w:p>
    <w:p w14:paraId="52D2E218" w14:textId="1E79ADF3" w:rsidR="00C47F4E" w:rsidRPr="002C0F0D" w:rsidRDefault="003A6A56" w:rsidP="002C0F0D">
      <w:pPr>
        <w:pStyle w:val="Caption"/>
        <w:spacing w:line="276" w:lineRule="auto"/>
        <w:jc w:val="center"/>
        <w:rPr>
          <w:szCs w:val="22"/>
        </w:rPr>
      </w:pPr>
      <w:r w:rsidRPr="002C0F0D">
        <w:rPr>
          <w:noProof/>
          <w:sz w:val="24"/>
          <w:szCs w:val="28"/>
          <w:lang w:eastAsia="zh-CN"/>
        </w:rPr>
        <w:drawing>
          <wp:anchor distT="0" distB="0" distL="114300" distR="114300" simplePos="0" relativeHeight="251658240" behindDoc="0" locked="0" layoutInCell="1" allowOverlap="1" wp14:anchorId="7B7DB734" wp14:editId="17D13EC2">
            <wp:simplePos x="0" y="0"/>
            <wp:positionH relativeFrom="margin">
              <wp:align>center</wp:align>
            </wp:positionH>
            <wp:positionV relativeFrom="paragraph">
              <wp:posOffset>308610</wp:posOffset>
            </wp:positionV>
            <wp:extent cx="5943600" cy="2447925"/>
            <wp:effectExtent l="0" t="0" r="0" b="9525"/>
            <wp:wrapSquare wrapText="bothSides"/>
            <wp:docPr id="47" name="Chart 47">
              <a:extLst xmlns:a="http://schemas.openxmlformats.org/drawingml/2006/main">
                <a:ext uri="{FF2B5EF4-FFF2-40B4-BE49-F238E27FC236}">
                  <a16:creationId xmlns:a16="http://schemas.microsoft.com/office/drawing/2014/main" id="{6E477149-8688-47D0-AF3B-0CFBE13849F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r w:rsidR="00C47F4E" w:rsidRPr="002C0F0D">
        <w:rPr>
          <w:szCs w:val="22"/>
        </w:rPr>
        <w:t>Percentage of energy cost</w:t>
      </w:r>
      <w:r w:rsidR="00DC017A" w:rsidRPr="002C0F0D">
        <w:rPr>
          <w:szCs w:val="22"/>
        </w:rPr>
        <w:t>s</w:t>
      </w:r>
      <w:r w:rsidR="00C47F4E" w:rsidRPr="002C0F0D">
        <w:rPr>
          <w:szCs w:val="22"/>
        </w:rPr>
        <w:t xml:space="preserve"> distribution (Headquarters)</w:t>
      </w:r>
    </w:p>
    <w:p w14:paraId="752992B9" w14:textId="74F87F55" w:rsidR="00C47F4E" w:rsidRPr="002C0F0D" w:rsidRDefault="00C47F4E" w:rsidP="002C0F0D">
      <w:pPr>
        <w:tabs>
          <w:tab w:val="num" w:pos="1701"/>
        </w:tabs>
        <w:autoSpaceDE w:val="0"/>
        <w:autoSpaceDN w:val="0"/>
        <w:adjustRightInd w:val="0"/>
        <w:spacing w:before="240" w:after="120"/>
        <w:jc w:val="center"/>
        <w:rPr>
          <w:rFonts w:ascii="Garamond" w:hAnsi="Garamond"/>
          <w:sz w:val="24"/>
          <w:szCs w:val="28"/>
          <w:u w:val="single"/>
          <w:lang w:val="en-GB"/>
        </w:rPr>
      </w:pPr>
    </w:p>
    <w:p w14:paraId="26B8086F" w14:textId="56EEB4DF" w:rsidR="00342449" w:rsidRPr="002C0F0D" w:rsidRDefault="00342449" w:rsidP="002C0F0D">
      <w:pPr>
        <w:tabs>
          <w:tab w:val="num" w:pos="1701"/>
        </w:tabs>
        <w:autoSpaceDE w:val="0"/>
        <w:autoSpaceDN w:val="0"/>
        <w:adjustRightInd w:val="0"/>
        <w:spacing w:before="240" w:after="120"/>
        <w:rPr>
          <w:rFonts w:ascii="Garamond" w:hAnsi="Garamond"/>
          <w:sz w:val="24"/>
          <w:szCs w:val="28"/>
          <w:u w:val="single"/>
          <w:lang w:val="en-GB"/>
        </w:rPr>
      </w:pPr>
      <w:r w:rsidRPr="002C0F0D">
        <w:rPr>
          <w:rFonts w:ascii="Garamond" w:hAnsi="Garamond"/>
          <w:sz w:val="24"/>
          <w:szCs w:val="28"/>
          <w:u w:val="single"/>
          <w:lang w:val="en-GB"/>
        </w:rPr>
        <w:lastRenderedPageBreak/>
        <w:t>Offices</w:t>
      </w:r>
    </w:p>
    <w:p w14:paraId="1527636B" w14:textId="476A46F5" w:rsidR="009B29FB" w:rsidRPr="002C0F0D" w:rsidRDefault="00342449" w:rsidP="002C0F0D">
      <w:pPr>
        <w:tabs>
          <w:tab w:val="num" w:pos="1701"/>
        </w:tabs>
        <w:autoSpaceDE w:val="0"/>
        <w:autoSpaceDN w:val="0"/>
        <w:adjustRightInd w:val="0"/>
        <w:spacing w:before="240" w:after="120"/>
        <w:rPr>
          <w:rFonts w:ascii="Garamond" w:hAnsi="Garamond"/>
          <w:sz w:val="24"/>
          <w:szCs w:val="28"/>
          <w:lang w:val="en-GB"/>
        </w:rPr>
      </w:pPr>
      <w:r w:rsidRPr="002C0F0D">
        <w:rPr>
          <w:rFonts w:ascii="Garamond" w:hAnsi="Garamond"/>
          <w:sz w:val="24"/>
          <w:szCs w:val="28"/>
          <w:lang w:val="en-GB"/>
        </w:rPr>
        <w:t>Most lighting in the field office has been changed to LED tubes that have approximately 50% lower power consumption than previous installation</w:t>
      </w:r>
      <w:r w:rsidR="008D5E55" w:rsidRPr="002C0F0D">
        <w:rPr>
          <w:rFonts w:ascii="Garamond" w:hAnsi="Garamond"/>
          <w:sz w:val="24"/>
          <w:szCs w:val="28"/>
          <w:lang w:val="en-GB"/>
        </w:rPr>
        <w:t>s</w:t>
      </w:r>
      <w:r w:rsidRPr="002C0F0D">
        <w:rPr>
          <w:rFonts w:ascii="Garamond" w:hAnsi="Garamond"/>
          <w:sz w:val="24"/>
          <w:szCs w:val="28"/>
          <w:lang w:val="en-GB"/>
        </w:rPr>
        <w:t xml:space="preserve">. </w:t>
      </w:r>
      <w:r w:rsidR="008D5E55" w:rsidRPr="002C0F0D">
        <w:rPr>
          <w:rFonts w:ascii="Garamond" w:hAnsi="Garamond"/>
          <w:sz w:val="24"/>
          <w:szCs w:val="28"/>
          <w:lang w:val="en-GB"/>
        </w:rPr>
        <w:t>The</w:t>
      </w:r>
      <w:r w:rsidR="000E5C5E" w:rsidRPr="002C0F0D">
        <w:rPr>
          <w:rFonts w:ascii="Garamond" w:hAnsi="Garamond"/>
          <w:sz w:val="24"/>
          <w:szCs w:val="28"/>
          <w:lang w:val="en-GB"/>
        </w:rPr>
        <w:t xml:space="preserve"> annual energy consumption of the field office, per m</w:t>
      </w:r>
      <w:r w:rsidR="000E5C5E" w:rsidRPr="002C0F0D">
        <w:rPr>
          <w:rFonts w:ascii="Garamond" w:hAnsi="Garamond"/>
          <w:sz w:val="24"/>
          <w:szCs w:val="28"/>
          <w:vertAlign w:val="superscript"/>
          <w:lang w:val="en-GB"/>
        </w:rPr>
        <w:t>2</w:t>
      </w:r>
      <w:r w:rsidR="000E5C5E" w:rsidRPr="002C0F0D">
        <w:rPr>
          <w:rFonts w:ascii="Garamond" w:hAnsi="Garamond"/>
          <w:sz w:val="24"/>
          <w:szCs w:val="28"/>
          <w:lang w:val="en-GB"/>
        </w:rPr>
        <w:t xml:space="preserve">, is 20% lower than that of the headquarters. </w:t>
      </w:r>
      <w:r w:rsidR="0084207F" w:rsidRPr="002C0F0D">
        <w:rPr>
          <w:rFonts w:ascii="Garamond" w:hAnsi="Garamond"/>
          <w:sz w:val="24"/>
          <w:szCs w:val="28"/>
          <w:lang w:val="en-GB"/>
        </w:rPr>
        <w:t xml:space="preserve">The field office has a fresh air supply system flowing into the corridors, with the original </w:t>
      </w:r>
      <w:r w:rsidR="007E0EF2" w:rsidRPr="002C0F0D">
        <w:rPr>
          <w:rFonts w:ascii="Garamond" w:hAnsi="Garamond"/>
          <w:sz w:val="24"/>
          <w:szCs w:val="28"/>
          <w:lang w:val="en-GB"/>
        </w:rPr>
        <w:t>purpose</w:t>
      </w:r>
      <w:r w:rsidR="0084207F" w:rsidRPr="002C0F0D">
        <w:rPr>
          <w:rFonts w:ascii="Garamond" w:hAnsi="Garamond"/>
          <w:sz w:val="24"/>
          <w:szCs w:val="28"/>
          <w:lang w:val="en-GB"/>
        </w:rPr>
        <w:t xml:space="preserve"> of this system</w:t>
      </w:r>
      <w:r w:rsidR="007E0EF2" w:rsidRPr="002C0F0D">
        <w:rPr>
          <w:rFonts w:ascii="Garamond" w:hAnsi="Garamond"/>
          <w:sz w:val="24"/>
          <w:szCs w:val="28"/>
          <w:lang w:val="en-GB"/>
        </w:rPr>
        <w:t xml:space="preserve"> being</w:t>
      </w:r>
      <w:r w:rsidR="00FE6505">
        <w:rPr>
          <w:rFonts w:ascii="Garamond" w:hAnsi="Garamond"/>
          <w:sz w:val="24"/>
          <w:szCs w:val="28"/>
          <w:lang w:val="en-GB"/>
        </w:rPr>
        <w:t xml:space="preserve"> </w:t>
      </w:r>
      <w:r w:rsidR="0084207F" w:rsidRPr="002C0F0D">
        <w:rPr>
          <w:rFonts w:ascii="Garamond" w:hAnsi="Garamond"/>
          <w:sz w:val="24"/>
          <w:szCs w:val="28"/>
          <w:lang w:val="en-GB"/>
        </w:rPr>
        <w:t xml:space="preserve">to allow the fresh air to be infiltrated into the office </w:t>
      </w:r>
      <w:r w:rsidR="002A19C2" w:rsidRPr="002C0F0D">
        <w:rPr>
          <w:rFonts w:ascii="Garamond" w:hAnsi="Garamond"/>
          <w:sz w:val="24"/>
          <w:szCs w:val="28"/>
          <w:lang w:val="en-GB"/>
        </w:rPr>
        <w:t>spaces and ex-filtrated out of the office windows.</w:t>
      </w:r>
    </w:p>
    <w:p w14:paraId="173908CB" w14:textId="1E37EF0E" w:rsidR="0084207F" w:rsidRPr="002C0F0D" w:rsidRDefault="007E0EF2" w:rsidP="002C0F0D">
      <w:pPr>
        <w:tabs>
          <w:tab w:val="num" w:pos="1701"/>
        </w:tabs>
        <w:autoSpaceDE w:val="0"/>
        <w:autoSpaceDN w:val="0"/>
        <w:adjustRightInd w:val="0"/>
        <w:spacing w:before="240" w:after="120"/>
        <w:rPr>
          <w:rFonts w:ascii="Garamond" w:hAnsi="Garamond"/>
          <w:sz w:val="24"/>
          <w:szCs w:val="28"/>
          <w:lang w:val="en-GB"/>
        </w:rPr>
      </w:pPr>
      <w:r w:rsidRPr="002C0F0D">
        <w:rPr>
          <w:rFonts w:ascii="Garamond" w:hAnsi="Garamond"/>
          <w:sz w:val="24"/>
          <w:szCs w:val="28"/>
          <w:lang w:val="en-GB"/>
        </w:rPr>
        <w:t>The measured CO</w:t>
      </w:r>
      <w:r w:rsidRPr="002C0F0D">
        <w:rPr>
          <w:rFonts w:ascii="Garamond" w:hAnsi="Garamond"/>
          <w:sz w:val="24"/>
          <w:szCs w:val="28"/>
          <w:vertAlign w:val="subscript"/>
          <w:lang w:val="en-GB"/>
        </w:rPr>
        <w:t>2</w:t>
      </w:r>
      <w:r w:rsidRPr="002C0F0D">
        <w:rPr>
          <w:rFonts w:ascii="Garamond" w:hAnsi="Garamond"/>
          <w:sz w:val="24"/>
          <w:szCs w:val="28"/>
          <w:lang w:val="en-GB"/>
        </w:rPr>
        <w:t xml:space="preserve"> level in the field office was low, even with this fresh air supply system switched off. </w:t>
      </w:r>
      <w:r w:rsidR="00936930" w:rsidRPr="002C0F0D">
        <w:rPr>
          <w:rFonts w:ascii="Garamond" w:hAnsi="Garamond"/>
          <w:sz w:val="24"/>
          <w:szCs w:val="28"/>
          <w:lang w:val="en-GB"/>
        </w:rPr>
        <w:t>Such an indication suggests that the building’s air infiltration rate is quite high and that it is not necessary to operate the fresh a</w:t>
      </w:r>
      <w:r w:rsidR="008D5E55" w:rsidRPr="002C0F0D">
        <w:rPr>
          <w:rFonts w:ascii="Garamond" w:hAnsi="Garamond"/>
          <w:sz w:val="24"/>
          <w:szCs w:val="28"/>
          <w:lang w:val="en-GB"/>
        </w:rPr>
        <w:t xml:space="preserve">ir system because it </w:t>
      </w:r>
      <w:r w:rsidR="0011510E">
        <w:rPr>
          <w:rFonts w:ascii="Garamond" w:hAnsi="Garamond"/>
          <w:sz w:val="24"/>
          <w:szCs w:val="28"/>
          <w:lang w:val="en-GB"/>
        </w:rPr>
        <w:t>would increase</w:t>
      </w:r>
      <w:r w:rsidR="0011510E" w:rsidRPr="002C0F0D">
        <w:rPr>
          <w:rFonts w:ascii="Garamond" w:hAnsi="Garamond"/>
          <w:sz w:val="24"/>
          <w:szCs w:val="28"/>
          <w:lang w:val="en-GB"/>
        </w:rPr>
        <w:t xml:space="preserve"> </w:t>
      </w:r>
      <w:r w:rsidR="008D5E55" w:rsidRPr="002C0F0D">
        <w:rPr>
          <w:rFonts w:ascii="Garamond" w:hAnsi="Garamond"/>
          <w:sz w:val="24"/>
          <w:szCs w:val="28"/>
          <w:lang w:val="en-GB"/>
        </w:rPr>
        <w:t>fan-</w:t>
      </w:r>
      <w:r w:rsidR="00936930" w:rsidRPr="002C0F0D">
        <w:rPr>
          <w:rFonts w:ascii="Garamond" w:hAnsi="Garamond"/>
          <w:sz w:val="24"/>
          <w:szCs w:val="28"/>
          <w:lang w:val="en-GB"/>
        </w:rPr>
        <w:t>energy use without necessarily improving the air quality.</w:t>
      </w:r>
    </w:p>
    <w:p w14:paraId="07D4FD8E" w14:textId="7076AECC" w:rsidR="0060650E" w:rsidRPr="002C0F0D" w:rsidRDefault="0060650E" w:rsidP="002C0F0D">
      <w:pPr>
        <w:spacing w:after="240"/>
        <w:rPr>
          <w:rFonts w:ascii="Garamond" w:hAnsi="Garamond"/>
          <w:b/>
          <w:bCs/>
          <w:i/>
          <w:iCs/>
          <w:sz w:val="28"/>
          <w:szCs w:val="28"/>
          <w:lang w:val="en-GB"/>
        </w:rPr>
      </w:pPr>
      <w:r w:rsidRPr="002C0F0D">
        <w:rPr>
          <w:rStyle w:val="Heading2Char"/>
          <w:sz w:val="28"/>
          <w:szCs w:val="28"/>
          <w:lang w:val="en-GB"/>
        </w:rPr>
        <w:t>SUBTITLE 2:</w:t>
      </w:r>
      <w:r w:rsidRPr="002C0F0D">
        <w:rPr>
          <w:rFonts w:ascii="Garamond" w:hAnsi="Garamond"/>
          <w:b/>
          <w:bCs/>
          <w:i/>
          <w:iCs/>
          <w:sz w:val="28"/>
          <w:szCs w:val="28"/>
          <w:lang w:val="en-GB"/>
        </w:rPr>
        <w:t xml:space="preserve"> Achievements</w:t>
      </w:r>
    </w:p>
    <w:p w14:paraId="19AE0151" w14:textId="62DABCB5" w:rsidR="00360529" w:rsidRPr="002C0F0D" w:rsidRDefault="0060650E" w:rsidP="002C0F0D">
      <w:pPr>
        <w:rPr>
          <w:rFonts w:ascii="Garamond" w:hAnsi="Garamond"/>
          <w:sz w:val="24"/>
          <w:szCs w:val="28"/>
          <w:lang w:val="en-US"/>
        </w:rPr>
      </w:pPr>
      <w:r w:rsidRPr="002C0F0D">
        <w:rPr>
          <w:rFonts w:ascii="Garamond" w:hAnsi="Garamond"/>
          <w:sz w:val="24"/>
          <w:szCs w:val="28"/>
          <w:lang w:val="en-US"/>
        </w:rPr>
        <w:t>Some of the fluorescent lights in the Amman field office have been replaced with LEDs</w:t>
      </w:r>
      <w:r w:rsidR="002D1079" w:rsidRPr="002C0F0D">
        <w:rPr>
          <w:rFonts w:ascii="Garamond" w:hAnsi="Garamond"/>
          <w:sz w:val="24"/>
          <w:szCs w:val="28"/>
          <w:lang w:val="en-US"/>
        </w:rPr>
        <w:t xml:space="preserve">. These LEDs have some 50% lower energy consumption; an energy efficiency improvement that can be seen from the energy bill itself as the field office has a 20% lower specific energy cost as compared to the headquarters. </w:t>
      </w:r>
      <w:r w:rsidR="008D2CC0" w:rsidRPr="002C0F0D">
        <w:rPr>
          <w:rFonts w:ascii="Garamond" w:hAnsi="Garamond"/>
          <w:sz w:val="24"/>
          <w:szCs w:val="28"/>
          <w:lang w:val="en-US"/>
        </w:rPr>
        <w:t>The field office has also seen a wider replacement of the water faucet fittings</w:t>
      </w:r>
      <w:r w:rsidR="0011510E">
        <w:rPr>
          <w:rFonts w:ascii="Garamond" w:hAnsi="Garamond"/>
          <w:sz w:val="24"/>
          <w:szCs w:val="28"/>
          <w:lang w:val="en-US"/>
        </w:rPr>
        <w:t xml:space="preserve"> with </w:t>
      </w:r>
      <w:r w:rsidR="00194D35" w:rsidRPr="002C0F0D">
        <w:rPr>
          <w:rFonts w:ascii="Garamond" w:hAnsi="Garamond"/>
          <w:sz w:val="24"/>
          <w:szCs w:val="28"/>
          <w:lang w:val="en-US"/>
        </w:rPr>
        <w:t xml:space="preserve">low-flow types that reduce water use by more than 50% for each fitting. </w:t>
      </w:r>
    </w:p>
    <w:p w14:paraId="204ADDD7" w14:textId="7C8656AC" w:rsidR="0060650E" w:rsidRPr="002C0F0D" w:rsidRDefault="00F32840" w:rsidP="002C0F0D">
      <w:pPr>
        <w:rPr>
          <w:rFonts w:ascii="Garamond" w:hAnsi="Garamond"/>
          <w:sz w:val="24"/>
          <w:szCs w:val="28"/>
          <w:lang w:val="en-US"/>
        </w:rPr>
      </w:pPr>
      <w:r w:rsidRPr="002C0F0D">
        <w:rPr>
          <w:rFonts w:ascii="Garamond" w:hAnsi="Garamond"/>
          <w:sz w:val="24"/>
          <w:szCs w:val="28"/>
          <w:lang w:val="en-US"/>
        </w:rPr>
        <w:t>In the headquarters, many lights in the corridors are switched off during the daytime</w:t>
      </w:r>
      <w:r w:rsidR="0011510E">
        <w:rPr>
          <w:rFonts w:ascii="Garamond" w:hAnsi="Garamond"/>
          <w:sz w:val="24"/>
          <w:szCs w:val="28"/>
          <w:lang w:val="en-US"/>
        </w:rPr>
        <w:t xml:space="preserve"> in</w:t>
      </w:r>
      <w:r w:rsidRPr="002C0F0D">
        <w:rPr>
          <w:rFonts w:ascii="Garamond" w:hAnsi="Garamond"/>
          <w:sz w:val="24"/>
          <w:szCs w:val="28"/>
          <w:lang w:val="en-US"/>
        </w:rPr>
        <w:t xml:space="preserve"> places where daylight is adequate. Moreover, motion and daylight sensors have been installed </w:t>
      </w:r>
      <w:r w:rsidR="00AA2C9F" w:rsidRPr="002C0F0D">
        <w:rPr>
          <w:rFonts w:ascii="Garamond" w:hAnsi="Garamond"/>
          <w:sz w:val="24"/>
          <w:szCs w:val="28"/>
          <w:lang w:val="en-US"/>
        </w:rPr>
        <w:t xml:space="preserve">in parts of the facility. </w:t>
      </w:r>
      <w:r w:rsidR="008D2CC0" w:rsidRPr="002C0F0D">
        <w:rPr>
          <w:rFonts w:ascii="Garamond" w:hAnsi="Garamond"/>
          <w:sz w:val="24"/>
          <w:szCs w:val="28"/>
          <w:lang w:val="en-US"/>
        </w:rPr>
        <w:t xml:space="preserve"> </w:t>
      </w:r>
    </w:p>
    <w:p w14:paraId="4278C0FB" w14:textId="59F3285D" w:rsidR="00B46CFE" w:rsidRPr="002C0F0D" w:rsidRDefault="00360529" w:rsidP="002C0F0D">
      <w:pPr>
        <w:rPr>
          <w:rFonts w:ascii="Garamond" w:hAnsi="Garamond"/>
          <w:sz w:val="24"/>
          <w:szCs w:val="28"/>
          <w:lang w:val="en-US"/>
        </w:rPr>
      </w:pPr>
      <w:r w:rsidRPr="002C0F0D">
        <w:rPr>
          <w:rFonts w:ascii="Garamond" w:hAnsi="Garamond"/>
          <w:sz w:val="24"/>
          <w:szCs w:val="28"/>
          <w:lang w:val="en-US"/>
        </w:rPr>
        <w:t xml:space="preserve">The </w:t>
      </w:r>
      <w:r w:rsidR="00B46CFE" w:rsidRPr="002C0F0D">
        <w:rPr>
          <w:rFonts w:ascii="Garamond" w:hAnsi="Garamond"/>
          <w:sz w:val="24"/>
          <w:szCs w:val="28"/>
          <w:lang w:val="en-US"/>
        </w:rPr>
        <w:t>previous older non-inverter split air conditioning units were replaced with more energy efficient inverter-type split units throughout the UNRWA facilities. Inverter-type units are beneficial for controlling and continuously regulating the tem</w:t>
      </w:r>
      <w:r w:rsidR="00C4300A" w:rsidRPr="002C0F0D">
        <w:rPr>
          <w:rFonts w:ascii="Garamond" w:hAnsi="Garamond"/>
          <w:sz w:val="24"/>
          <w:szCs w:val="28"/>
          <w:lang w:val="en-US"/>
        </w:rPr>
        <w:t>perature, and generally have increased efficiency compared to traditional air conditioners.</w:t>
      </w:r>
      <w:r w:rsidR="006B51C2" w:rsidRPr="002C0F0D">
        <w:rPr>
          <w:rFonts w:ascii="Garamond" w:hAnsi="Garamond"/>
          <w:sz w:val="24"/>
          <w:szCs w:val="28"/>
          <w:lang w:val="en-US"/>
        </w:rPr>
        <w:t xml:space="preserve"> The replacement of older, traditional split units that have reached (or near) their lifespan, is an ongoing process in UNRWA.</w:t>
      </w:r>
      <w:r w:rsidR="00C4300A" w:rsidRPr="002C0F0D">
        <w:rPr>
          <w:rFonts w:ascii="Garamond" w:hAnsi="Garamond"/>
          <w:sz w:val="24"/>
          <w:szCs w:val="28"/>
          <w:lang w:val="en-US"/>
        </w:rPr>
        <w:t xml:space="preserve"> </w:t>
      </w:r>
    </w:p>
    <w:p w14:paraId="1232AC6B" w14:textId="3230E8FD" w:rsidR="009C1C8F" w:rsidRPr="002C0F0D" w:rsidRDefault="009C1C8F" w:rsidP="002C0F0D">
      <w:pPr>
        <w:spacing w:after="240"/>
        <w:rPr>
          <w:rFonts w:ascii="Garamond" w:hAnsi="Garamond"/>
          <w:b/>
          <w:bCs/>
          <w:i/>
          <w:iCs/>
          <w:sz w:val="28"/>
          <w:szCs w:val="28"/>
          <w:lang w:val="en-GB"/>
        </w:rPr>
      </w:pPr>
      <w:r w:rsidRPr="002C0F0D">
        <w:rPr>
          <w:rStyle w:val="Heading2Char"/>
          <w:sz w:val="28"/>
          <w:szCs w:val="28"/>
          <w:lang w:val="en-GB"/>
        </w:rPr>
        <w:t>SUBTITLE 2:</w:t>
      </w:r>
      <w:r w:rsidRPr="002C0F0D">
        <w:rPr>
          <w:rFonts w:ascii="Garamond" w:hAnsi="Garamond"/>
          <w:b/>
          <w:bCs/>
          <w:i/>
          <w:iCs/>
          <w:sz w:val="28"/>
          <w:szCs w:val="28"/>
          <w:lang w:val="en-GB"/>
        </w:rPr>
        <w:t xml:space="preserve"> Challenges</w:t>
      </w:r>
    </w:p>
    <w:p w14:paraId="1966F7F9" w14:textId="6B122BCC" w:rsidR="009C1C8F" w:rsidRPr="004240DD" w:rsidRDefault="007E6B21" w:rsidP="002C0F0D">
      <w:pPr>
        <w:spacing w:after="240"/>
        <w:rPr>
          <w:rFonts w:ascii="Garamond" w:hAnsi="Garamond"/>
          <w:sz w:val="24"/>
          <w:u w:val="single"/>
          <w:lang w:val="en-GB"/>
        </w:rPr>
      </w:pPr>
      <w:r w:rsidRPr="004240DD">
        <w:rPr>
          <w:rFonts w:ascii="Garamond" w:hAnsi="Garamond"/>
          <w:sz w:val="24"/>
          <w:u w:val="single"/>
          <w:lang w:val="en-GB"/>
        </w:rPr>
        <w:t xml:space="preserve">Corporate culture </w:t>
      </w:r>
    </w:p>
    <w:p w14:paraId="26C754EB" w14:textId="48B80C67" w:rsidR="00946688" w:rsidRPr="002C0F0D" w:rsidRDefault="007E6B21" w:rsidP="002C0F0D">
      <w:pPr>
        <w:spacing w:after="240"/>
        <w:rPr>
          <w:rFonts w:ascii="Garamond" w:hAnsi="Garamond"/>
          <w:sz w:val="24"/>
          <w:lang w:val="en-GB"/>
        </w:rPr>
      </w:pPr>
      <w:r w:rsidRPr="002C0F0D">
        <w:rPr>
          <w:rFonts w:ascii="Garamond" w:hAnsi="Garamond"/>
          <w:sz w:val="24"/>
          <w:lang w:val="en-GB"/>
        </w:rPr>
        <w:t xml:space="preserve">Like in many </w:t>
      </w:r>
      <w:r w:rsidR="0011510E">
        <w:rPr>
          <w:rFonts w:ascii="Garamond" w:hAnsi="Garamond"/>
          <w:sz w:val="24"/>
          <w:lang w:val="en-GB"/>
        </w:rPr>
        <w:t xml:space="preserve">other </w:t>
      </w:r>
      <w:r w:rsidRPr="002C0F0D">
        <w:rPr>
          <w:rFonts w:ascii="Garamond" w:hAnsi="Garamond"/>
          <w:sz w:val="24"/>
          <w:lang w:val="en-GB"/>
        </w:rPr>
        <w:t>large organizations, there is an unintentional culture of energy wastage</w:t>
      </w:r>
      <w:r w:rsidR="00293BE1" w:rsidRPr="002C0F0D">
        <w:rPr>
          <w:rFonts w:ascii="Garamond" w:hAnsi="Garamond"/>
          <w:sz w:val="24"/>
          <w:lang w:val="en-GB"/>
        </w:rPr>
        <w:t xml:space="preserve"> at UNRWA</w:t>
      </w:r>
      <w:r w:rsidRPr="002C0F0D">
        <w:rPr>
          <w:rFonts w:ascii="Garamond" w:hAnsi="Garamond"/>
          <w:sz w:val="24"/>
          <w:lang w:val="en-GB"/>
        </w:rPr>
        <w:t xml:space="preserve">. Employees in large organizations often see it as a rightful entitlement to use as much energy as necessary at work. </w:t>
      </w:r>
      <w:r w:rsidR="00293BE1" w:rsidRPr="002C0F0D">
        <w:rPr>
          <w:rFonts w:ascii="Garamond" w:hAnsi="Garamond"/>
          <w:sz w:val="24"/>
          <w:lang w:val="en-GB"/>
        </w:rPr>
        <w:t>The unlimited use of energy is perceived as a part of the employment package to ensure productivity in the office. Any attempts at removing this perceived entitlement will often be met with objection.</w:t>
      </w:r>
    </w:p>
    <w:p w14:paraId="1EDE36C1" w14:textId="2A53D6FF" w:rsidR="00293BE1" w:rsidRPr="004240DD" w:rsidRDefault="00C40BF8" w:rsidP="002C0F0D">
      <w:pPr>
        <w:spacing w:after="240"/>
        <w:rPr>
          <w:rFonts w:ascii="Garamond" w:hAnsi="Garamond"/>
          <w:sz w:val="24"/>
          <w:u w:val="single"/>
          <w:lang w:val="en-GB"/>
        </w:rPr>
      </w:pPr>
      <w:r w:rsidRPr="004240DD">
        <w:rPr>
          <w:rFonts w:ascii="Garamond" w:hAnsi="Garamond"/>
          <w:sz w:val="24"/>
          <w:u w:val="single"/>
          <w:lang w:val="en-GB"/>
        </w:rPr>
        <w:t>E</w:t>
      </w:r>
      <w:r w:rsidR="00293BE1" w:rsidRPr="004240DD">
        <w:rPr>
          <w:rFonts w:ascii="Garamond" w:hAnsi="Garamond"/>
          <w:sz w:val="24"/>
          <w:u w:val="single"/>
          <w:lang w:val="en-GB"/>
        </w:rPr>
        <w:t>xpertise</w:t>
      </w:r>
    </w:p>
    <w:p w14:paraId="0BABE930" w14:textId="24CF35E3" w:rsidR="00293BE1" w:rsidRPr="002C0F0D" w:rsidRDefault="00293BE1" w:rsidP="002C0F0D">
      <w:pPr>
        <w:spacing w:after="240"/>
        <w:rPr>
          <w:rFonts w:ascii="Garamond" w:hAnsi="Garamond"/>
          <w:sz w:val="24"/>
          <w:lang w:val="en-GB"/>
        </w:rPr>
      </w:pPr>
      <w:r w:rsidRPr="002C0F0D">
        <w:rPr>
          <w:rFonts w:ascii="Garamond" w:hAnsi="Garamond"/>
          <w:sz w:val="24"/>
          <w:lang w:val="en-GB"/>
        </w:rPr>
        <w:t xml:space="preserve">There is one electrical engineer who has contributed to energy efficiency processes at UNRWA. The energy efficiency in a building also involves a comprehensive understanding of mechanical systems such as heating, cooling pumps and fans; </w:t>
      </w:r>
      <w:r w:rsidR="0011510E">
        <w:rPr>
          <w:rFonts w:ascii="Garamond" w:hAnsi="Garamond"/>
          <w:sz w:val="24"/>
          <w:lang w:val="en-GB"/>
        </w:rPr>
        <w:t xml:space="preserve">of </w:t>
      </w:r>
      <w:r w:rsidRPr="002C0F0D">
        <w:rPr>
          <w:rFonts w:ascii="Garamond" w:hAnsi="Garamond"/>
          <w:sz w:val="24"/>
          <w:lang w:val="en-GB"/>
        </w:rPr>
        <w:t xml:space="preserve">electrical system such as lighting and </w:t>
      </w:r>
      <w:r w:rsidR="0011510E">
        <w:rPr>
          <w:rFonts w:ascii="Garamond" w:hAnsi="Garamond"/>
          <w:sz w:val="24"/>
          <w:lang w:val="en-GB"/>
        </w:rPr>
        <w:t xml:space="preserve">of </w:t>
      </w:r>
      <w:r w:rsidRPr="002C0F0D">
        <w:rPr>
          <w:rFonts w:ascii="Garamond" w:hAnsi="Garamond"/>
          <w:sz w:val="24"/>
          <w:lang w:val="en-GB"/>
        </w:rPr>
        <w:t xml:space="preserve">architectural aspects </w:t>
      </w:r>
      <w:r w:rsidR="00382BA9" w:rsidRPr="002C0F0D">
        <w:rPr>
          <w:rFonts w:ascii="Garamond" w:hAnsi="Garamond"/>
          <w:sz w:val="24"/>
          <w:lang w:val="en-GB"/>
        </w:rPr>
        <w:t>like</w:t>
      </w:r>
      <w:r w:rsidRPr="002C0F0D">
        <w:rPr>
          <w:rFonts w:ascii="Garamond" w:hAnsi="Garamond"/>
          <w:sz w:val="24"/>
          <w:lang w:val="en-GB"/>
        </w:rPr>
        <w:t xml:space="preserve"> passive heating and cooling, daylight harvesting and air tightness. These mechanical systems, including energy efficiency technologies, are rapidly changing and progressing. </w:t>
      </w:r>
    </w:p>
    <w:p w14:paraId="75F54CDF" w14:textId="51465367" w:rsidR="00A5360D" w:rsidRPr="002C0F0D" w:rsidRDefault="00A5360D" w:rsidP="002C0F0D">
      <w:pPr>
        <w:spacing w:after="240"/>
        <w:rPr>
          <w:rFonts w:ascii="Garamond" w:hAnsi="Garamond"/>
          <w:b/>
          <w:bCs/>
          <w:i/>
          <w:iCs/>
          <w:sz w:val="28"/>
          <w:szCs w:val="28"/>
          <w:lang w:val="en-GB"/>
        </w:rPr>
      </w:pPr>
      <w:r w:rsidRPr="002C0F0D">
        <w:rPr>
          <w:rStyle w:val="Heading2Char"/>
          <w:sz w:val="28"/>
          <w:szCs w:val="28"/>
          <w:lang w:val="en-GB"/>
        </w:rPr>
        <w:t>SUBTITLE 3:</w:t>
      </w:r>
      <w:r w:rsidRPr="002C0F0D">
        <w:rPr>
          <w:rFonts w:ascii="Garamond" w:hAnsi="Garamond"/>
          <w:b/>
          <w:bCs/>
          <w:i/>
          <w:iCs/>
          <w:sz w:val="28"/>
          <w:szCs w:val="28"/>
          <w:lang w:val="en-GB"/>
        </w:rPr>
        <w:t xml:space="preserve"> Recommendations</w:t>
      </w:r>
    </w:p>
    <w:p w14:paraId="11FA80D2" w14:textId="4EF727B3" w:rsidR="00A5360D" w:rsidRPr="002C0F0D" w:rsidRDefault="00C175A3" w:rsidP="002C0F0D">
      <w:pPr>
        <w:spacing w:after="240"/>
        <w:rPr>
          <w:rFonts w:ascii="Garamond" w:hAnsi="Garamond"/>
          <w:sz w:val="24"/>
          <w:u w:val="single"/>
          <w:lang w:val="en-GB"/>
        </w:rPr>
      </w:pPr>
      <w:r w:rsidRPr="002C0F0D">
        <w:rPr>
          <w:rFonts w:ascii="Garamond" w:hAnsi="Garamond"/>
          <w:sz w:val="24"/>
          <w:u w:val="single"/>
          <w:lang w:val="en-GB"/>
        </w:rPr>
        <w:t>Improving lighting efficiency and daylight harvesting</w:t>
      </w:r>
    </w:p>
    <w:p w14:paraId="7ABAE5CD" w14:textId="57C0B870" w:rsidR="00C175A3" w:rsidRPr="002C0F0D" w:rsidRDefault="00C175A3" w:rsidP="002C0F0D">
      <w:pPr>
        <w:spacing w:after="240"/>
        <w:rPr>
          <w:rFonts w:ascii="Garamond" w:hAnsi="Garamond"/>
          <w:sz w:val="24"/>
          <w:lang w:val="en-GB"/>
        </w:rPr>
      </w:pPr>
      <w:r w:rsidRPr="002C0F0D">
        <w:rPr>
          <w:rFonts w:ascii="Garamond" w:hAnsi="Garamond"/>
          <w:sz w:val="24"/>
          <w:lang w:val="en-GB"/>
        </w:rPr>
        <w:t xml:space="preserve">In general, UNRWA offices were measured to be overly lit. </w:t>
      </w:r>
      <w:r w:rsidR="0011510E">
        <w:rPr>
          <w:rFonts w:ascii="Garamond" w:hAnsi="Garamond"/>
          <w:sz w:val="24"/>
          <w:lang w:val="en-GB"/>
        </w:rPr>
        <w:t>D</w:t>
      </w:r>
      <w:r w:rsidRPr="002C0F0D">
        <w:rPr>
          <w:rFonts w:ascii="Garamond" w:hAnsi="Garamond"/>
          <w:sz w:val="24"/>
          <w:lang w:val="en-GB"/>
        </w:rPr>
        <w:t>e-lamping, energy efficient lights and the use of daylight were identified to reduce building</w:t>
      </w:r>
      <w:r w:rsidR="0011510E">
        <w:rPr>
          <w:rFonts w:ascii="Garamond" w:hAnsi="Garamond"/>
          <w:sz w:val="24"/>
          <w:lang w:val="en-GB"/>
        </w:rPr>
        <w:t>s’</w:t>
      </w:r>
      <w:r w:rsidRPr="002C0F0D">
        <w:rPr>
          <w:rFonts w:ascii="Garamond" w:hAnsi="Garamond"/>
          <w:sz w:val="24"/>
          <w:lang w:val="en-GB"/>
        </w:rPr>
        <w:t xml:space="preserve"> total energy consumption by more than 10%. </w:t>
      </w:r>
    </w:p>
    <w:p w14:paraId="3EB5E8EB" w14:textId="4DBFACEE" w:rsidR="00E629FB" w:rsidRPr="002C0F0D" w:rsidRDefault="00E629FB" w:rsidP="002C0F0D">
      <w:pPr>
        <w:spacing w:after="240"/>
        <w:rPr>
          <w:rFonts w:ascii="Garamond" w:hAnsi="Garamond"/>
          <w:sz w:val="24"/>
          <w:u w:val="single"/>
          <w:lang w:val="en-GB"/>
        </w:rPr>
      </w:pPr>
      <w:r w:rsidRPr="002C0F0D">
        <w:rPr>
          <w:rFonts w:ascii="Garamond" w:hAnsi="Garamond"/>
          <w:sz w:val="24"/>
          <w:u w:val="single"/>
          <w:lang w:val="en-GB"/>
        </w:rPr>
        <w:lastRenderedPageBreak/>
        <w:t>Improving boiler system efficiency</w:t>
      </w:r>
    </w:p>
    <w:p w14:paraId="29696279" w14:textId="52BFEBB4" w:rsidR="0071001D" w:rsidRPr="002C0F0D" w:rsidRDefault="00E629FB" w:rsidP="002C0F0D">
      <w:pPr>
        <w:spacing w:after="240"/>
        <w:rPr>
          <w:rFonts w:ascii="Garamond" w:hAnsi="Garamond"/>
          <w:sz w:val="24"/>
          <w:lang w:val="en-GB"/>
        </w:rPr>
      </w:pPr>
      <w:r w:rsidRPr="002C0F0D">
        <w:rPr>
          <w:rFonts w:ascii="Garamond" w:hAnsi="Garamond"/>
          <w:sz w:val="24"/>
          <w:lang w:val="en-GB"/>
        </w:rPr>
        <w:t>Boilers that operate at a high temperature change will improve efficiency, which can be achieved through better operational control of the boiler pumps. Additional small</w:t>
      </w:r>
      <w:r w:rsidR="0011510E">
        <w:rPr>
          <w:rFonts w:ascii="Garamond" w:hAnsi="Garamond"/>
          <w:sz w:val="24"/>
          <w:lang w:val="en-GB"/>
        </w:rPr>
        <w:t>-</w:t>
      </w:r>
      <w:r w:rsidRPr="002C0F0D">
        <w:rPr>
          <w:rFonts w:ascii="Garamond" w:hAnsi="Garamond"/>
          <w:sz w:val="24"/>
          <w:lang w:val="en-GB"/>
        </w:rPr>
        <w:t>scale measures such as proper pipe insulation, reduced operating hours</w:t>
      </w:r>
      <w:r w:rsidR="0011510E">
        <w:rPr>
          <w:rFonts w:ascii="Garamond" w:hAnsi="Garamond"/>
          <w:sz w:val="24"/>
          <w:lang w:val="en-GB"/>
        </w:rPr>
        <w:t xml:space="preserve"> and</w:t>
      </w:r>
      <w:r w:rsidRPr="002C0F0D">
        <w:rPr>
          <w:rFonts w:ascii="Garamond" w:hAnsi="Garamond"/>
          <w:sz w:val="24"/>
          <w:lang w:val="en-GB"/>
        </w:rPr>
        <w:t xml:space="preserve"> replacement of the radiator’s control valve with temperature sensors will further reduce overall building energy consumption. </w:t>
      </w:r>
    </w:p>
    <w:p w14:paraId="15533A58" w14:textId="77777777" w:rsidR="0071001D" w:rsidRPr="002C0F0D" w:rsidRDefault="0071001D" w:rsidP="002C0F0D">
      <w:pPr>
        <w:spacing w:after="240"/>
        <w:rPr>
          <w:rFonts w:ascii="Garamond" w:hAnsi="Garamond"/>
          <w:sz w:val="24"/>
          <w:u w:val="single"/>
          <w:lang w:val="en-GB"/>
        </w:rPr>
      </w:pPr>
      <w:r w:rsidRPr="002C0F0D">
        <w:rPr>
          <w:rFonts w:ascii="Garamond" w:hAnsi="Garamond"/>
          <w:sz w:val="24"/>
          <w:u w:val="single"/>
          <w:lang w:val="en-GB"/>
        </w:rPr>
        <w:t>Data centre improvements</w:t>
      </w:r>
    </w:p>
    <w:p w14:paraId="4D59F6C9" w14:textId="27C239CD" w:rsidR="00E629FB" w:rsidRPr="002C0F0D" w:rsidRDefault="0071001D" w:rsidP="002C0F0D">
      <w:pPr>
        <w:spacing w:after="240"/>
        <w:rPr>
          <w:rFonts w:ascii="Garamond" w:hAnsi="Garamond"/>
          <w:sz w:val="24"/>
          <w:lang w:val="en-GB"/>
        </w:rPr>
      </w:pPr>
      <w:r w:rsidRPr="002C0F0D">
        <w:rPr>
          <w:rFonts w:ascii="Garamond" w:hAnsi="Garamond"/>
          <w:sz w:val="24"/>
          <w:lang w:val="en-GB"/>
        </w:rPr>
        <w:t>It is recommended for UNRWA to operate the data centre</w:t>
      </w:r>
      <w:r w:rsidR="0011510E">
        <w:rPr>
          <w:rFonts w:ascii="Garamond" w:hAnsi="Garamond"/>
          <w:sz w:val="24"/>
          <w:lang w:val="en-GB"/>
        </w:rPr>
        <w:t xml:space="preserve"> at</w:t>
      </w:r>
      <w:r w:rsidRPr="002C0F0D">
        <w:rPr>
          <w:rFonts w:ascii="Garamond" w:hAnsi="Garamond"/>
          <w:sz w:val="24"/>
          <w:lang w:val="en-GB"/>
        </w:rPr>
        <w:t xml:space="preserve"> no lower than 25</w:t>
      </w:r>
      <w:r w:rsidRPr="002C0F0D">
        <w:rPr>
          <w:rFonts w:ascii="Cambria Math" w:hAnsi="Cambria Math" w:cs="Cambria Math"/>
          <w:bCs/>
          <w:sz w:val="24"/>
          <w:szCs w:val="28"/>
          <w:lang w:val="en-US"/>
        </w:rPr>
        <w:t>⁰</w:t>
      </w:r>
      <w:r w:rsidRPr="002C0F0D">
        <w:rPr>
          <w:rFonts w:ascii="Garamond" w:hAnsi="Garamond"/>
          <w:bCs/>
          <w:sz w:val="24"/>
          <w:szCs w:val="28"/>
          <w:lang w:val="en-US"/>
        </w:rPr>
        <w:t>C instead of the current 20</w:t>
      </w:r>
      <w:r w:rsidRPr="002C0F0D">
        <w:rPr>
          <w:rFonts w:ascii="Cambria Math" w:hAnsi="Cambria Math" w:cs="Cambria Math"/>
          <w:bCs/>
          <w:sz w:val="24"/>
          <w:szCs w:val="28"/>
          <w:lang w:val="en-US"/>
        </w:rPr>
        <w:t>⁰</w:t>
      </w:r>
      <w:r w:rsidRPr="002C0F0D">
        <w:rPr>
          <w:rFonts w:ascii="Garamond" w:hAnsi="Garamond"/>
          <w:bCs/>
          <w:sz w:val="24"/>
          <w:szCs w:val="28"/>
          <w:lang w:val="en-US"/>
        </w:rPr>
        <w:t>C - 22</w:t>
      </w:r>
      <w:r w:rsidRPr="002C0F0D">
        <w:rPr>
          <w:rFonts w:ascii="Cambria Math" w:hAnsi="Cambria Math" w:cs="Cambria Math"/>
          <w:bCs/>
          <w:sz w:val="24"/>
          <w:szCs w:val="28"/>
          <w:lang w:val="en-US"/>
        </w:rPr>
        <w:t>⁰</w:t>
      </w:r>
      <w:r w:rsidRPr="002C0F0D">
        <w:rPr>
          <w:rFonts w:ascii="Garamond" w:hAnsi="Garamond"/>
          <w:bCs/>
          <w:sz w:val="24"/>
          <w:szCs w:val="28"/>
          <w:lang w:val="en-US"/>
        </w:rPr>
        <w:t xml:space="preserve">C. </w:t>
      </w:r>
      <w:r w:rsidR="0011510E">
        <w:rPr>
          <w:rFonts w:ascii="Garamond" w:hAnsi="Garamond"/>
          <w:bCs/>
          <w:sz w:val="24"/>
          <w:szCs w:val="28"/>
          <w:lang w:val="en-US"/>
        </w:rPr>
        <w:t>A</w:t>
      </w:r>
      <w:r w:rsidRPr="002C0F0D">
        <w:rPr>
          <w:rFonts w:ascii="Garamond" w:hAnsi="Garamond"/>
          <w:bCs/>
          <w:sz w:val="24"/>
          <w:szCs w:val="28"/>
          <w:lang w:val="en-US"/>
        </w:rPr>
        <w:t>dditionally, the data centre should consider the use of free cooling with outdoor air, whenever the air outside is cooler than 23</w:t>
      </w:r>
      <w:r w:rsidRPr="002C0F0D">
        <w:rPr>
          <w:rFonts w:ascii="Cambria Math" w:hAnsi="Cambria Math" w:cs="Cambria Math"/>
          <w:bCs/>
          <w:sz w:val="24"/>
          <w:szCs w:val="28"/>
          <w:lang w:val="en-US"/>
        </w:rPr>
        <w:t>⁰</w:t>
      </w:r>
      <w:r w:rsidRPr="002C0F0D">
        <w:rPr>
          <w:rFonts w:ascii="Garamond" w:hAnsi="Garamond"/>
          <w:bCs/>
          <w:sz w:val="24"/>
          <w:szCs w:val="28"/>
          <w:lang w:val="en-US"/>
        </w:rPr>
        <w:t>C.</w:t>
      </w:r>
      <w:r w:rsidR="00E629FB" w:rsidRPr="002C0F0D">
        <w:rPr>
          <w:rFonts w:ascii="Garamond" w:hAnsi="Garamond"/>
          <w:sz w:val="24"/>
          <w:lang w:val="en-GB"/>
        </w:rPr>
        <w:t xml:space="preserve"> </w:t>
      </w:r>
    </w:p>
    <w:p w14:paraId="5D88C6C5" w14:textId="339CBB0C" w:rsidR="0071001D" w:rsidRPr="002C0F0D" w:rsidRDefault="0071001D" w:rsidP="002C0F0D">
      <w:pPr>
        <w:spacing w:after="240"/>
        <w:rPr>
          <w:rFonts w:ascii="Garamond" w:hAnsi="Garamond"/>
          <w:sz w:val="24"/>
          <w:u w:val="single"/>
          <w:lang w:val="en-GB"/>
        </w:rPr>
      </w:pPr>
      <w:r w:rsidRPr="002C0F0D">
        <w:rPr>
          <w:rFonts w:ascii="Garamond" w:hAnsi="Garamond"/>
          <w:sz w:val="24"/>
          <w:u w:val="single"/>
          <w:lang w:val="en-GB"/>
        </w:rPr>
        <w:t>Improving energy management of office equipment</w:t>
      </w:r>
    </w:p>
    <w:p w14:paraId="1EC091D4" w14:textId="2D175A8D" w:rsidR="0071001D" w:rsidRPr="002C0F0D" w:rsidRDefault="00A26F83" w:rsidP="002C0F0D">
      <w:pPr>
        <w:spacing w:after="240"/>
        <w:rPr>
          <w:rFonts w:ascii="Garamond" w:hAnsi="Garamond"/>
          <w:sz w:val="24"/>
          <w:lang w:val="en-GB"/>
        </w:rPr>
      </w:pPr>
      <w:r w:rsidRPr="002C0F0D">
        <w:rPr>
          <w:rFonts w:ascii="Garamond" w:hAnsi="Garamond"/>
          <w:sz w:val="24"/>
          <w:lang w:val="en-GB"/>
        </w:rPr>
        <w:t>Desktop computers are a large contributor to the total building energy use. An increased us</w:t>
      </w:r>
      <w:r w:rsidR="0011510E">
        <w:rPr>
          <w:rFonts w:ascii="Garamond" w:hAnsi="Garamond"/>
          <w:sz w:val="24"/>
          <w:lang w:val="en-GB"/>
        </w:rPr>
        <w:t>e</w:t>
      </w:r>
      <w:r w:rsidRPr="002C0F0D">
        <w:rPr>
          <w:rFonts w:ascii="Garamond" w:hAnsi="Garamond"/>
          <w:sz w:val="24"/>
          <w:lang w:val="en-GB"/>
        </w:rPr>
        <w:t xml:space="preserve"> of notebooks and the implementation of power management on desktop computers will significantly reduce energy consumption in office buildings. Furthermore, a weekly timer that can switch off printers, water dispensers and heating for hand washing has proven to provide a small amount of energy reduction too. </w:t>
      </w:r>
    </w:p>
    <w:p w14:paraId="0E9067CB" w14:textId="074D536B" w:rsidR="00382BA9" w:rsidRPr="002C0F0D" w:rsidRDefault="00382BA9" w:rsidP="002C0F0D">
      <w:pPr>
        <w:spacing w:after="240"/>
        <w:rPr>
          <w:rFonts w:ascii="Garamond" w:hAnsi="Garamond"/>
          <w:sz w:val="24"/>
          <w:u w:val="single"/>
          <w:lang w:val="en-GB"/>
        </w:rPr>
      </w:pPr>
      <w:r w:rsidRPr="002C0F0D">
        <w:rPr>
          <w:rFonts w:ascii="Garamond" w:hAnsi="Garamond"/>
          <w:sz w:val="24"/>
          <w:u w:val="single"/>
          <w:lang w:val="en-GB"/>
        </w:rPr>
        <w:t>Energy manager</w:t>
      </w:r>
    </w:p>
    <w:p w14:paraId="2CA544AF" w14:textId="5B48AFE2" w:rsidR="00382BA9" w:rsidRPr="002C0F0D" w:rsidRDefault="00382BA9" w:rsidP="002C0F0D">
      <w:pPr>
        <w:spacing w:after="240"/>
        <w:rPr>
          <w:rFonts w:ascii="Garamond" w:hAnsi="Garamond"/>
          <w:sz w:val="24"/>
          <w:lang w:val="en-GB"/>
        </w:rPr>
      </w:pPr>
      <w:r w:rsidRPr="002C0F0D">
        <w:rPr>
          <w:rFonts w:ascii="Garamond" w:hAnsi="Garamond"/>
          <w:sz w:val="24"/>
          <w:lang w:val="en-GB"/>
        </w:rPr>
        <w:t xml:space="preserve">An appointment of a permanent energy manager within UNRWA with an appropriate background in energy efficiency in buildings will make a significant overall energy reduction in UNRWA. If a 5% energy cost reduction can be achieved from the headquarters’ current total estimated JD2.6 million per year cost, then a budget of JD130,000 per year is possible and could cover the employment of an energy manager.    </w:t>
      </w:r>
    </w:p>
    <w:p w14:paraId="515ECBB2" w14:textId="77777777" w:rsidR="009E3A16" w:rsidRPr="002C0F0D" w:rsidRDefault="009E3A16" w:rsidP="002C0F0D">
      <w:pPr>
        <w:tabs>
          <w:tab w:val="num" w:pos="1701"/>
        </w:tabs>
        <w:autoSpaceDE w:val="0"/>
        <w:autoSpaceDN w:val="0"/>
        <w:adjustRightInd w:val="0"/>
        <w:spacing w:before="240" w:after="120"/>
        <w:rPr>
          <w:rFonts w:ascii="Garamond" w:hAnsi="Garamond"/>
          <w:sz w:val="4"/>
          <w:szCs w:val="4"/>
          <w:lang w:val="en-GB"/>
        </w:rPr>
      </w:pPr>
    </w:p>
    <w:p w14:paraId="15E9F82C" w14:textId="484EF806" w:rsidR="00B32AEE" w:rsidRPr="002C0F0D" w:rsidRDefault="00B32AEE" w:rsidP="002C0F0D">
      <w:pPr>
        <w:spacing w:after="240"/>
        <w:jc w:val="center"/>
        <w:rPr>
          <w:rFonts w:ascii="Garamond" w:hAnsi="Garamond"/>
          <w:b/>
          <w:bCs/>
          <w:sz w:val="24"/>
          <w:szCs w:val="28"/>
          <w:lang w:val="en-US"/>
        </w:rPr>
      </w:pPr>
      <w:r w:rsidRPr="002C0F0D">
        <w:rPr>
          <w:rFonts w:ascii="Garamond" w:hAnsi="Garamond"/>
          <w:b/>
          <w:bCs/>
          <w:sz w:val="24"/>
          <w:szCs w:val="28"/>
          <w:lang w:val="en-US"/>
        </w:rPr>
        <w:t xml:space="preserve">Greenhouse Gas Emissions from Transportation </w:t>
      </w:r>
    </w:p>
    <w:p w14:paraId="6D21ABE6" w14:textId="165ED489" w:rsidR="00B32AEE" w:rsidRPr="002C0F0D" w:rsidRDefault="00121F0F" w:rsidP="002C0F0D">
      <w:pPr>
        <w:spacing w:after="240"/>
        <w:rPr>
          <w:rFonts w:ascii="Garamond" w:hAnsi="Garamond"/>
          <w:b/>
          <w:bCs/>
          <w:i/>
          <w:iCs/>
          <w:sz w:val="28"/>
          <w:szCs w:val="28"/>
          <w:lang w:val="en-GB"/>
        </w:rPr>
      </w:pPr>
      <w:r w:rsidRPr="002C0F0D">
        <w:rPr>
          <w:rStyle w:val="Heading2Char"/>
          <w:sz w:val="28"/>
          <w:szCs w:val="28"/>
          <w:lang w:val="en-GB"/>
        </w:rPr>
        <w:t xml:space="preserve">SUBTITLE </w:t>
      </w:r>
      <w:r w:rsidR="00A5360D" w:rsidRPr="002C0F0D">
        <w:rPr>
          <w:rStyle w:val="Heading2Char"/>
          <w:sz w:val="28"/>
          <w:szCs w:val="28"/>
          <w:lang w:val="en-GB"/>
        </w:rPr>
        <w:t>4</w:t>
      </w:r>
      <w:r w:rsidR="00B32AEE" w:rsidRPr="002C0F0D">
        <w:rPr>
          <w:rStyle w:val="Heading2Char"/>
          <w:sz w:val="28"/>
          <w:szCs w:val="28"/>
          <w:lang w:val="en-GB"/>
        </w:rPr>
        <w:t>:</w:t>
      </w:r>
      <w:r w:rsidR="00B32AEE" w:rsidRPr="002C0F0D">
        <w:rPr>
          <w:rFonts w:ascii="Garamond" w:hAnsi="Garamond"/>
          <w:b/>
          <w:bCs/>
          <w:i/>
          <w:iCs/>
          <w:sz w:val="28"/>
          <w:szCs w:val="28"/>
          <w:lang w:val="en-GB"/>
        </w:rPr>
        <w:t xml:space="preserve"> Status</w:t>
      </w:r>
    </w:p>
    <w:p w14:paraId="23044421" w14:textId="426A0622" w:rsidR="00130A5C" w:rsidRPr="002C0F0D" w:rsidRDefault="003D5504" w:rsidP="002C0F0D">
      <w:pPr>
        <w:rPr>
          <w:rFonts w:ascii="Garamond" w:hAnsi="Garamond"/>
          <w:sz w:val="24"/>
          <w:szCs w:val="28"/>
          <w:lang w:val="en-US"/>
        </w:rPr>
      </w:pPr>
      <w:r w:rsidRPr="002C0F0D">
        <w:rPr>
          <w:rFonts w:ascii="Garamond" w:hAnsi="Garamond"/>
          <w:sz w:val="24"/>
          <w:szCs w:val="28"/>
          <w:lang w:val="en-US"/>
        </w:rPr>
        <w:t>At the transportation hub, the offices are small and sporadically located</w:t>
      </w:r>
      <w:r w:rsidR="00DC3D16">
        <w:rPr>
          <w:rFonts w:ascii="Garamond" w:hAnsi="Garamond"/>
          <w:sz w:val="24"/>
          <w:szCs w:val="28"/>
          <w:lang w:val="en-US"/>
        </w:rPr>
        <w:t xml:space="preserve"> and </w:t>
      </w:r>
      <w:r w:rsidRPr="002C0F0D">
        <w:rPr>
          <w:rFonts w:ascii="Garamond" w:hAnsi="Garamond"/>
          <w:sz w:val="24"/>
          <w:szCs w:val="28"/>
          <w:lang w:val="en-US"/>
        </w:rPr>
        <w:t>there are very few people working there.</w:t>
      </w:r>
      <w:r w:rsidR="004524A2" w:rsidRPr="002C0F0D">
        <w:rPr>
          <w:rFonts w:ascii="Garamond" w:hAnsi="Garamond"/>
          <w:sz w:val="24"/>
          <w:szCs w:val="28"/>
          <w:lang w:val="en-US"/>
        </w:rPr>
        <w:t xml:space="preserve"> The vast majority of the 217 vehicles at UNRWA belong to the Amman field office</w:t>
      </w:r>
      <w:r w:rsidR="00DC3D16">
        <w:rPr>
          <w:rFonts w:ascii="Garamond" w:hAnsi="Garamond"/>
          <w:sz w:val="24"/>
          <w:szCs w:val="28"/>
          <w:lang w:val="en-US"/>
        </w:rPr>
        <w:t>, which</w:t>
      </w:r>
      <w:r w:rsidR="004524A2" w:rsidRPr="002C0F0D">
        <w:rPr>
          <w:rFonts w:ascii="Garamond" w:hAnsi="Garamond"/>
          <w:sz w:val="24"/>
          <w:szCs w:val="28"/>
          <w:lang w:val="en-US"/>
        </w:rPr>
        <w:t xml:space="preserve"> also exhibit</w:t>
      </w:r>
      <w:r w:rsidR="00DC3D16">
        <w:rPr>
          <w:rFonts w:ascii="Garamond" w:hAnsi="Garamond"/>
          <w:sz w:val="24"/>
          <w:szCs w:val="28"/>
          <w:lang w:val="en-US"/>
        </w:rPr>
        <w:t>s</w:t>
      </w:r>
      <w:r w:rsidR="004524A2" w:rsidRPr="002C0F0D">
        <w:rPr>
          <w:rFonts w:ascii="Garamond" w:hAnsi="Garamond"/>
          <w:sz w:val="24"/>
          <w:szCs w:val="28"/>
          <w:lang w:val="en-US"/>
        </w:rPr>
        <w:t xml:space="preserve"> the highest number and percentage of diesel vehicles. The types of vehicles at UNRWA differ according to use</w:t>
      </w:r>
      <w:r w:rsidR="00DC3D16">
        <w:rPr>
          <w:rFonts w:ascii="Garamond" w:hAnsi="Garamond"/>
          <w:sz w:val="24"/>
          <w:szCs w:val="28"/>
          <w:lang w:val="en-US"/>
        </w:rPr>
        <w:t xml:space="preserve"> and they</w:t>
      </w:r>
      <w:r w:rsidR="00610A92" w:rsidRPr="002C0F0D">
        <w:rPr>
          <w:rFonts w:ascii="Garamond" w:hAnsi="Garamond"/>
          <w:sz w:val="24"/>
          <w:szCs w:val="28"/>
          <w:lang w:val="en-US"/>
        </w:rPr>
        <w:t xml:space="preserve"> include buses, trucks, sedans and 4x4 vehicles. Each of these vehicle types exhibits a different fuel efficiency, emission profile and fuel requirement. There is also a noticeable variability in fuel efficiency within the same type of vehicles when comparing the vehicles belonging to different entities in UNRWA.</w:t>
      </w:r>
      <w:r w:rsidR="003D0577" w:rsidRPr="002C0F0D">
        <w:rPr>
          <w:rFonts w:ascii="Garamond" w:hAnsi="Garamond"/>
          <w:sz w:val="24"/>
          <w:szCs w:val="28"/>
          <w:lang w:val="en-US"/>
        </w:rPr>
        <w:t xml:space="preserve"> The fuel requirements of the field office vehicles are expressed as liters per 100 kilom</w:t>
      </w:r>
      <w:bookmarkStart w:id="0" w:name="_GoBack"/>
      <w:bookmarkEnd w:id="0"/>
      <w:r w:rsidR="003D0577" w:rsidRPr="002C0F0D">
        <w:rPr>
          <w:rFonts w:ascii="Garamond" w:hAnsi="Garamond"/>
          <w:sz w:val="24"/>
          <w:szCs w:val="28"/>
          <w:lang w:val="en-US"/>
        </w:rPr>
        <w:t>eters.</w:t>
      </w:r>
      <w:r w:rsidR="00610A92" w:rsidRPr="002C0F0D">
        <w:rPr>
          <w:rFonts w:ascii="Garamond" w:hAnsi="Garamond"/>
          <w:sz w:val="24"/>
          <w:szCs w:val="28"/>
          <w:lang w:val="en-US"/>
        </w:rPr>
        <w:t xml:space="preserve"> </w:t>
      </w:r>
    </w:p>
    <w:p w14:paraId="1EDCD5E4" w14:textId="2AB0A4E9" w:rsidR="004245FD" w:rsidRPr="002C0F0D" w:rsidRDefault="004245FD" w:rsidP="00980EAD">
      <w:pPr>
        <w:pStyle w:val="Caption"/>
        <w:spacing w:line="276" w:lineRule="auto"/>
        <w:jc w:val="center"/>
        <w:rPr>
          <w:szCs w:val="22"/>
        </w:rPr>
      </w:pPr>
      <w:r w:rsidRPr="002C0F0D">
        <w:rPr>
          <w:szCs w:val="22"/>
        </w:rPr>
        <w:t xml:space="preserve">Fuel consumption of various vehicle types in </w:t>
      </w:r>
      <w:r w:rsidR="00980EAD">
        <w:rPr>
          <w:szCs w:val="22"/>
        </w:rPr>
        <w:t>Jordan Field Office</w:t>
      </w:r>
      <w:r w:rsidRPr="002C0F0D">
        <w:rPr>
          <w:szCs w:val="22"/>
        </w:rPr>
        <w:t xml:space="preserve"> (based on data of the last 2 years)</w:t>
      </w:r>
    </w:p>
    <w:p w14:paraId="4F971A02" w14:textId="4FA49B97" w:rsidR="004245FD" w:rsidRPr="002C0F0D" w:rsidRDefault="004245FD" w:rsidP="002C0F0D">
      <w:pPr>
        <w:jc w:val="center"/>
        <w:rPr>
          <w:rFonts w:ascii="Garamond" w:hAnsi="Garamond"/>
          <w:sz w:val="24"/>
          <w:szCs w:val="28"/>
          <w:lang w:val="en-US"/>
        </w:rPr>
      </w:pPr>
      <w:r w:rsidRPr="002C0F0D">
        <w:rPr>
          <w:noProof/>
          <w:sz w:val="24"/>
          <w:szCs w:val="28"/>
          <w:lang w:val="en-US" w:eastAsia="zh-CN"/>
        </w:rPr>
        <w:drawing>
          <wp:inline distT="0" distB="0" distL="0" distR="0" wp14:anchorId="52FE5462" wp14:editId="1716CA83">
            <wp:extent cx="4844415" cy="1914525"/>
            <wp:effectExtent l="0" t="0" r="0" b="9525"/>
            <wp:docPr id="220165" name="Picture 220165" descr="C:\Users\ehsanis\Documents\AMMAN Peer Review\DynamicImageProvider 2.png"/>
            <wp:cNvGraphicFramePr/>
            <a:graphic xmlns:a="http://schemas.openxmlformats.org/drawingml/2006/main">
              <a:graphicData uri="http://schemas.openxmlformats.org/drawingml/2006/picture">
                <pic:pic xmlns:pic="http://schemas.openxmlformats.org/drawingml/2006/picture">
                  <pic:nvPicPr>
                    <pic:cNvPr id="3" name="Picture 3" descr="C:\Users\ehsanis\Documents\AMMAN Peer Review\DynamicImageProvider 2.png"/>
                    <pic:cNvPicPr/>
                  </pic:nvPicPr>
                  <pic:blipFill rotWithShape="1">
                    <a:blip r:embed="rId10">
                      <a:extLst>
                        <a:ext uri="{28A0092B-C50C-407E-A947-70E740481C1C}">
                          <a14:useLocalDpi xmlns:a14="http://schemas.microsoft.com/office/drawing/2010/main" val="0"/>
                        </a:ext>
                      </a:extLst>
                    </a:blip>
                    <a:srcRect t="14320"/>
                    <a:stretch/>
                  </pic:blipFill>
                  <pic:spPr bwMode="auto">
                    <a:xfrm>
                      <a:off x="0" y="0"/>
                      <a:ext cx="4848706" cy="1916221"/>
                    </a:xfrm>
                    <a:prstGeom prst="rect">
                      <a:avLst/>
                    </a:prstGeom>
                    <a:noFill/>
                    <a:ln>
                      <a:noFill/>
                    </a:ln>
                    <a:extLst>
                      <a:ext uri="{53640926-AAD7-44D8-BBD7-CCE9431645EC}">
                        <a14:shadowObscured xmlns:a14="http://schemas.microsoft.com/office/drawing/2010/main"/>
                      </a:ext>
                    </a:extLst>
                  </pic:spPr>
                </pic:pic>
              </a:graphicData>
            </a:graphic>
          </wp:inline>
        </w:drawing>
      </w:r>
    </w:p>
    <w:p w14:paraId="78F1D8E7" w14:textId="787A2F2C" w:rsidR="00603C5C" w:rsidRPr="002C0F0D" w:rsidRDefault="008E42F4" w:rsidP="002C0F0D">
      <w:pPr>
        <w:rPr>
          <w:rFonts w:ascii="Garamond" w:hAnsi="Garamond"/>
          <w:sz w:val="24"/>
          <w:szCs w:val="28"/>
          <w:lang w:val="en-US"/>
        </w:rPr>
      </w:pPr>
      <w:r w:rsidRPr="002C0F0D">
        <w:rPr>
          <w:rFonts w:ascii="Garamond" w:hAnsi="Garamond"/>
          <w:sz w:val="24"/>
          <w:szCs w:val="28"/>
          <w:lang w:val="en-US"/>
        </w:rPr>
        <w:lastRenderedPageBreak/>
        <w:t>For the same class of vehicle, a higher fuel consumption was recorded at the different UNRWA departments</w:t>
      </w:r>
      <w:r w:rsidR="000376B6" w:rsidRPr="002C0F0D">
        <w:rPr>
          <w:rFonts w:ascii="Garamond" w:hAnsi="Garamond"/>
          <w:sz w:val="24"/>
          <w:szCs w:val="28"/>
          <w:lang w:val="en-US"/>
        </w:rPr>
        <w:t xml:space="preserve"> – sedans and medium buses were reviewed</w:t>
      </w:r>
      <w:r w:rsidRPr="002C0F0D">
        <w:rPr>
          <w:rFonts w:ascii="Garamond" w:hAnsi="Garamond"/>
          <w:sz w:val="24"/>
          <w:szCs w:val="28"/>
          <w:lang w:val="en-US"/>
        </w:rPr>
        <w:t xml:space="preserve">. </w:t>
      </w:r>
      <w:r w:rsidR="00603C5C" w:rsidRPr="002C0F0D">
        <w:rPr>
          <w:rFonts w:ascii="Garamond" w:hAnsi="Garamond"/>
          <w:sz w:val="24"/>
          <w:szCs w:val="28"/>
          <w:lang w:val="en-US"/>
        </w:rPr>
        <w:t>The variability in fuel efficiency within the same type of vehicles is best seen in the following</w:t>
      </w:r>
      <w:r w:rsidR="00DC3D16">
        <w:rPr>
          <w:rFonts w:ascii="Garamond" w:hAnsi="Garamond"/>
          <w:sz w:val="24"/>
          <w:szCs w:val="28"/>
          <w:lang w:val="en-US"/>
        </w:rPr>
        <w:t xml:space="preserve"> graph</w:t>
      </w:r>
      <w:r w:rsidR="00603C5C" w:rsidRPr="002C0F0D">
        <w:rPr>
          <w:rFonts w:ascii="Garamond" w:hAnsi="Garamond"/>
          <w:sz w:val="24"/>
          <w:szCs w:val="28"/>
          <w:lang w:val="en-US"/>
        </w:rPr>
        <w:t>, which show</w:t>
      </w:r>
      <w:r w:rsidR="00DC3D16">
        <w:rPr>
          <w:rFonts w:ascii="Garamond" w:hAnsi="Garamond"/>
          <w:sz w:val="24"/>
          <w:szCs w:val="28"/>
          <w:lang w:val="en-US"/>
        </w:rPr>
        <w:t>s</w:t>
      </w:r>
      <w:r w:rsidR="00603C5C" w:rsidRPr="002C0F0D">
        <w:rPr>
          <w:rFonts w:ascii="Garamond" w:hAnsi="Garamond"/>
          <w:sz w:val="24"/>
          <w:szCs w:val="28"/>
          <w:lang w:val="en-US"/>
        </w:rPr>
        <w:t xml:space="preserve"> fuel efficiency for medium buses and sedans that vary by approximately 10% and 60% resp</w:t>
      </w:r>
      <w:r w:rsidR="00EE5CA7" w:rsidRPr="002C0F0D">
        <w:rPr>
          <w:rFonts w:ascii="Garamond" w:hAnsi="Garamond"/>
          <w:sz w:val="24"/>
          <w:szCs w:val="28"/>
          <w:lang w:val="en-US"/>
        </w:rPr>
        <w:t>ectively, per UNRWA department</w:t>
      </w:r>
      <w:r w:rsidR="00DC3D16">
        <w:rPr>
          <w:rFonts w:ascii="Garamond" w:hAnsi="Garamond"/>
          <w:sz w:val="24"/>
          <w:szCs w:val="28"/>
          <w:lang w:val="en-US"/>
        </w:rPr>
        <w:t>:</w:t>
      </w:r>
      <w:r w:rsidR="00EE5CA7" w:rsidRPr="002C0F0D">
        <w:rPr>
          <w:rFonts w:ascii="Garamond" w:hAnsi="Garamond"/>
          <w:sz w:val="24"/>
          <w:szCs w:val="28"/>
          <w:lang w:val="en-US"/>
        </w:rPr>
        <w:t xml:space="preserve"> Jordan Field Office (JFO), Amman Training Centre (ATC) and Wadi Seer Training Centre (WSTC).</w:t>
      </w:r>
    </w:p>
    <w:p w14:paraId="2E63F749" w14:textId="731E72A6" w:rsidR="00603C5C" w:rsidRPr="002C0F0D" w:rsidRDefault="00603C5C" w:rsidP="002C0F0D">
      <w:pPr>
        <w:pStyle w:val="Caption"/>
        <w:spacing w:line="276" w:lineRule="auto"/>
        <w:jc w:val="center"/>
        <w:rPr>
          <w:sz w:val="24"/>
          <w:szCs w:val="20"/>
        </w:rPr>
      </w:pPr>
      <w:r w:rsidRPr="002C0F0D">
        <w:rPr>
          <w:sz w:val="24"/>
          <w:szCs w:val="20"/>
        </w:rPr>
        <w:t>Sedan specific fuel use (liter/100km)</w:t>
      </w:r>
    </w:p>
    <w:p w14:paraId="5C78AE3F" w14:textId="51A30E69" w:rsidR="00603C5C" w:rsidRPr="002C0F0D" w:rsidRDefault="00603C5C" w:rsidP="002C0F0D">
      <w:pPr>
        <w:jc w:val="center"/>
        <w:rPr>
          <w:sz w:val="24"/>
          <w:szCs w:val="28"/>
          <w:lang w:val="en-US"/>
        </w:rPr>
      </w:pPr>
      <w:r w:rsidRPr="002C0F0D">
        <w:rPr>
          <w:noProof/>
          <w:sz w:val="24"/>
          <w:szCs w:val="28"/>
          <w:lang w:val="en-US" w:eastAsia="zh-CN"/>
        </w:rPr>
        <w:drawing>
          <wp:inline distT="0" distB="0" distL="0" distR="0" wp14:anchorId="776CAA2F" wp14:editId="71E2F713">
            <wp:extent cx="4558665" cy="2295525"/>
            <wp:effectExtent l="0" t="0" r="0" b="9525"/>
            <wp:docPr id="220166" name="Picture 220166" descr="C:\Users\ehsanis\Documents\DynamicImageProvider.png"/>
            <wp:cNvGraphicFramePr/>
            <a:graphic xmlns:a="http://schemas.openxmlformats.org/drawingml/2006/main">
              <a:graphicData uri="http://schemas.openxmlformats.org/drawingml/2006/picture">
                <pic:pic xmlns:pic="http://schemas.openxmlformats.org/drawingml/2006/picture">
                  <pic:nvPicPr>
                    <pic:cNvPr id="1" name="Picture 1" descr="C:\Users\ehsanis\Documents\DynamicImageProvider.png"/>
                    <pic:cNvPicPr/>
                  </pic:nvPicPr>
                  <pic:blipFill rotWithShape="1">
                    <a:blip r:embed="rId11" cstate="print">
                      <a:extLst>
                        <a:ext uri="{28A0092B-C50C-407E-A947-70E740481C1C}">
                          <a14:useLocalDpi xmlns:a14="http://schemas.microsoft.com/office/drawing/2010/main" val="0"/>
                        </a:ext>
                      </a:extLst>
                    </a:blip>
                    <a:srcRect t="7767"/>
                    <a:stretch/>
                  </pic:blipFill>
                  <pic:spPr bwMode="auto">
                    <a:xfrm>
                      <a:off x="0" y="0"/>
                      <a:ext cx="4563376" cy="2297897"/>
                    </a:xfrm>
                    <a:prstGeom prst="rect">
                      <a:avLst/>
                    </a:prstGeom>
                    <a:noFill/>
                    <a:ln>
                      <a:noFill/>
                    </a:ln>
                    <a:extLst>
                      <a:ext uri="{53640926-AAD7-44D8-BBD7-CCE9431645EC}">
                        <a14:shadowObscured xmlns:a14="http://schemas.microsoft.com/office/drawing/2010/main"/>
                      </a:ext>
                    </a:extLst>
                  </pic:spPr>
                </pic:pic>
              </a:graphicData>
            </a:graphic>
          </wp:inline>
        </w:drawing>
      </w:r>
    </w:p>
    <w:p w14:paraId="45D8D22B" w14:textId="26DC439C" w:rsidR="00360529" w:rsidRPr="002C0F0D" w:rsidRDefault="00360529" w:rsidP="002C0F0D">
      <w:pPr>
        <w:pStyle w:val="Caption"/>
        <w:spacing w:line="276" w:lineRule="auto"/>
        <w:jc w:val="center"/>
        <w:rPr>
          <w:sz w:val="24"/>
          <w:szCs w:val="20"/>
        </w:rPr>
      </w:pPr>
      <w:r w:rsidRPr="002C0F0D">
        <w:rPr>
          <w:sz w:val="24"/>
          <w:szCs w:val="20"/>
        </w:rPr>
        <w:t>Medium bus specific fuel use (liter/100km)</w:t>
      </w:r>
    </w:p>
    <w:p w14:paraId="5B0D135C" w14:textId="7ED58B2C" w:rsidR="00603C5C" w:rsidRPr="002C0F0D" w:rsidRDefault="001D07FE" w:rsidP="002C0F0D">
      <w:pPr>
        <w:jc w:val="center"/>
        <w:rPr>
          <w:sz w:val="24"/>
          <w:szCs w:val="28"/>
          <w:lang w:val="en-US"/>
        </w:rPr>
      </w:pPr>
      <w:r w:rsidRPr="002C0F0D">
        <w:rPr>
          <w:noProof/>
          <w:sz w:val="24"/>
          <w:szCs w:val="28"/>
          <w:lang w:val="en-US" w:eastAsia="zh-CN"/>
        </w:rPr>
        <w:drawing>
          <wp:inline distT="0" distB="0" distL="0" distR="0" wp14:anchorId="61490367" wp14:editId="7BECA205">
            <wp:extent cx="4363554" cy="2461762"/>
            <wp:effectExtent l="0" t="0" r="0" b="0"/>
            <wp:docPr id="220167" name="Picture 220167" descr="C:\Users\ehsanis\Documents\AMMAN Peer Review\DynamicImageProvider 3.png"/>
            <wp:cNvGraphicFramePr/>
            <a:graphic xmlns:a="http://schemas.openxmlformats.org/drawingml/2006/main">
              <a:graphicData uri="http://schemas.openxmlformats.org/drawingml/2006/picture">
                <pic:pic xmlns:pic="http://schemas.openxmlformats.org/drawingml/2006/picture">
                  <pic:nvPicPr>
                    <pic:cNvPr id="4" name="Picture 4" descr="C:\Users\ehsanis\Documents\AMMAN Peer Review\DynamicImageProvider 3.png"/>
                    <pic:cNvPicPr/>
                  </pic:nvPicPr>
                  <pic:blipFill rotWithShape="1">
                    <a:blip r:embed="rId12">
                      <a:extLst>
                        <a:ext uri="{28A0092B-C50C-407E-A947-70E740481C1C}">
                          <a14:useLocalDpi xmlns:a14="http://schemas.microsoft.com/office/drawing/2010/main" val="0"/>
                        </a:ext>
                      </a:extLst>
                    </a:blip>
                    <a:srcRect t="8738"/>
                    <a:stretch/>
                  </pic:blipFill>
                  <pic:spPr bwMode="auto">
                    <a:xfrm>
                      <a:off x="0" y="0"/>
                      <a:ext cx="4378299" cy="2470081"/>
                    </a:xfrm>
                    <a:prstGeom prst="rect">
                      <a:avLst/>
                    </a:prstGeom>
                    <a:noFill/>
                    <a:ln>
                      <a:noFill/>
                    </a:ln>
                    <a:extLst>
                      <a:ext uri="{53640926-AAD7-44D8-BBD7-CCE9431645EC}">
                        <a14:shadowObscured xmlns:a14="http://schemas.microsoft.com/office/drawing/2010/main"/>
                      </a:ext>
                    </a:extLst>
                  </pic:spPr>
                </pic:pic>
              </a:graphicData>
            </a:graphic>
          </wp:inline>
        </w:drawing>
      </w:r>
    </w:p>
    <w:p w14:paraId="5930FB0C" w14:textId="6574DBAE" w:rsidR="001D07FE" w:rsidRPr="002C0F0D" w:rsidRDefault="003D4B76" w:rsidP="002C0F0D">
      <w:pPr>
        <w:rPr>
          <w:rFonts w:ascii="Garamond" w:hAnsi="Garamond"/>
          <w:sz w:val="24"/>
          <w:szCs w:val="28"/>
          <w:lang w:val="en-US"/>
        </w:rPr>
      </w:pPr>
      <w:r w:rsidRPr="002C0F0D">
        <w:rPr>
          <w:rFonts w:ascii="Garamond" w:hAnsi="Garamond"/>
          <w:sz w:val="24"/>
          <w:szCs w:val="28"/>
          <w:lang w:val="en-US"/>
        </w:rPr>
        <w:t xml:space="preserve">The variation in fuel in sedans and medium buses, across the three studied UNRWA departments, suggests that vehicle fleets could be run more efficiently and </w:t>
      </w:r>
      <w:r w:rsidR="00DC3D16">
        <w:rPr>
          <w:rFonts w:ascii="Garamond" w:hAnsi="Garamond"/>
          <w:sz w:val="24"/>
          <w:szCs w:val="28"/>
          <w:lang w:val="en-US"/>
        </w:rPr>
        <w:t xml:space="preserve">that </w:t>
      </w:r>
      <w:r w:rsidRPr="002C0F0D">
        <w:rPr>
          <w:rFonts w:ascii="Garamond" w:hAnsi="Garamond"/>
          <w:sz w:val="24"/>
          <w:szCs w:val="28"/>
          <w:lang w:val="en-US"/>
        </w:rPr>
        <w:t xml:space="preserve">the higher fuel consumptions for the same class of vehicles could be due to: </w:t>
      </w:r>
    </w:p>
    <w:p w14:paraId="5337C8FB" w14:textId="77777777" w:rsidR="0012057C" w:rsidRPr="002C0F0D" w:rsidRDefault="0012057C" w:rsidP="002C0F0D">
      <w:pPr>
        <w:pStyle w:val="ListParagraph"/>
        <w:numPr>
          <w:ilvl w:val="0"/>
          <w:numId w:val="8"/>
        </w:numPr>
        <w:spacing w:after="240"/>
        <w:rPr>
          <w:rFonts w:ascii="Garamond" w:hAnsi="Garamond"/>
          <w:sz w:val="24"/>
          <w:szCs w:val="24"/>
          <w:lang w:val="en-US"/>
        </w:rPr>
      </w:pPr>
      <w:r w:rsidRPr="002C0F0D">
        <w:rPr>
          <w:rFonts w:ascii="Garamond" w:hAnsi="Garamond"/>
          <w:sz w:val="24"/>
          <w:szCs w:val="24"/>
          <w:lang w:val="en-US"/>
        </w:rPr>
        <w:t>The age difference in the same class of vehicles with the older vehicles typically being more inefficient and requiring more maintenance.</w:t>
      </w:r>
    </w:p>
    <w:p w14:paraId="1E262DC9" w14:textId="77777777" w:rsidR="0012057C" w:rsidRPr="002C0F0D" w:rsidRDefault="0012057C" w:rsidP="002C0F0D">
      <w:pPr>
        <w:pStyle w:val="ListParagraph"/>
        <w:numPr>
          <w:ilvl w:val="0"/>
          <w:numId w:val="8"/>
        </w:numPr>
        <w:spacing w:after="240"/>
        <w:rPr>
          <w:rFonts w:ascii="Garamond" w:hAnsi="Garamond"/>
          <w:sz w:val="24"/>
          <w:szCs w:val="24"/>
          <w:lang w:val="en-US"/>
        </w:rPr>
      </w:pPr>
      <w:r w:rsidRPr="002C0F0D">
        <w:rPr>
          <w:rFonts w:ascii="Garamond" w:hAnsi="Garamond"/>
          <w:sz w:val="24"/>
          <w:szCs w:val="24"/>
          <w:lang w:val="en-US"/>
        </w:rPr>
        <w:t xml:space="preserve">Driving habits among WFP drivers will make a huge difference to fuel efficiency. A driver making rapid stops and accelerations will wear out the car and will consume much more fuel for the same distance covered. </w:t>
      </w:r>
    </w:p>
    <w:p w14:paraId="39B74160" w14:textId="77777777" w:rsidR="0012057C" w:rsidRPr="002C0F0D" w:rsidRDefault="0012057C" w:rsidP="002C0F0D">
      <w:pPr>
        <w:pStyle w:val="ListParagraph"/>
        <w:numPr>
          <w:ilvl w:val="0"/>
          <w:numId w:val="8"/>
        </w:numPr>
        <w:spacing w:after="240"/>
        <w:rPr>
          <w:rFonts w:ascii="Garamond" w:hAnsi="Garamond"/>
          <w:sz w:val="24"/>
          <w:szCs w:val="24"/>
          <w:lang w:val="en-US"/>
        </w:rPr>
      </w:pPr>
      <w:r w:rsidRPr="002C0F0D">
        <w:rPr>
          <w:rFonts w:ascii="Garamond" w:hAnsi="Garamond"/>
          <w:sz w:val="24"/>
          <w:szCs w:val="24"/>
          <w:lang w:val="en-US"/>
        </w:rPr>
        <w:t xml:space="preserve">The driving routes taken, depending on terrain and traffic, will lead to a variation in fuel efficiency. </w:t>
      </w:r>
    </w:p>
    <w:p w14:paraId="4653D30C" w14:textId="77777777" w:rsidR="0012057C" w:rsidRPr="002C0F0D" w:rsidRDefault="0012057C" w:rsidP="002C0F0D">
      <w:pPr>
        <w:pStyle w:val="ListParagraph"/>
        <w:numPr>
          <w:ilvl w:val="0"/>
          <w:numId w:val="8"/>
        </w:numPr>
        <w:spacing w:after="240"/>
        <w:rPr>
          <w:rFonts w:ascii="Garamond" w:hAnsi="Garamond"/>
          <w:sz w:val="24"/>
          <w:szCs w:val="24"/>
          <w:lang w:val="en-US"/>
        </w:rPr>
      </w:pPr>
      <w:r w:rsidRPr="002C0F0D">
        <w:rPr>
          <w:rFonts w:ascii="Garamond" w:hAnsi="Garamond"/>
          <w:sz w:val="24"/>
          <w:szCs w:val="24"/>
          <w:lang w:val="en-US"/>
        </w:rPr>
        <w:t xml:space="preserve">Inaccurate or fraudulent fueling practices inevitably lead to ‘fuel efficiency’ discrepancies. For example, practices at the fueling station that should not occur – such as filling extra fuel cans – can affect fuel economy. It is assumed that WFP has checks to mitigate such practices. </w:t>
      </w:r>
    </w:p>
    <w:p w14:paraId="42C6407C" w14:textId="6CA2118C" w:rsidR="00A26F83" w:rsidRPr="002C0F0D" w:rsidRDefault="00A26F83" w:rsidP="002C0F0D">
      <w:pPr>
        <w:spacing w:after="240"/>
        <w:rPr>
          <w:rFonts w:ascii="Garamond" w:hAnsi="Garamond"/>
          <w:b/>
          <w:bCs/>
          <w:i/>
          <w:iCs/>
          <w:sz w:val="28"/>
          <w:szCs w:val="28"/>
          <w:lang w:val="en-GB"/>
        </w:rPr>
      </w:pPr>
      <w:r w:rsidRPr="002C0F0D">
        <w:rPr>
          <w:rStyle w:val="Heading2Char"/>
          <w:sz w:val="28"/>
          <w:szCs w:val="28"/>
          <w:lang w:val="en-GB"/>
        </w:rPr>
        <w:lastRenderedPageBreak/>
        <w:t>SUBTITLE 5:</w:t>
      </w:r>
      <w:r w:rsidRPr="002C0F0D">
        <w:rPr>
          <w:rFonts w:ascii="Garamond" w:hAnsi="Garamond"/>
          <w:b/>
          <w:bCs/>
          <w:i/>
          <w:iCs/>
          <w:sz w:val="28"/>
          <w:szCs w:val="28"/>
          <w:lang w:val="en-GB"/>
        </w:rPr>
        <w:t xml:space="preserve"> Achievements</w:t>
      </w:r>
    </w:p>
    <w:p w14:paraId="761EBB09" w14:textId="4D6D4FB5" w:rsidR="00397D75" w:rsidRPr="002C0F0D" w:rsidRDefault="00397D75" w:rsidP="002C0F0D">
      <w:pPr>
        <w:rPr>
          <w:rFonts w:ascii="Garamond" w:hAnsi="Garamond"/>
          <w:sz w:val="24"/>
          <w:szCs w:val="28"/>
          <w:lang w:val="en-US"/>
        </w:rPr>
      </w:pPr>
      <w:r w:rsidRPr="002C0F0D">
        <w:rPr>
          <w:rFonts w:ascii="Garamond" w:hAnsi="Garamond"/>
          <w:sz w:val="24"/>
          <w:szCs w:val="28"/>
          <w:lang w:val="en-US"/>
        </w:rPr>
        <w:t xml:space="preserve">The vehicle maintenance operation is well managed and a vehicle management system is in use. The vehicle management system provides data detailing each vehicle’s repair history, fuel consumption and frequency of use. </w:t>
      </w:r>
    </w:p>
    <w:p w14:paraId="1D5A5244" w14:textId="3FCD7263" w:rsidR="00A26F83" w:rsidRPr="002C0F0D" w:rsidRDefault="00A26F83" w:rsidP="002C0F0D">
      <w:pPr>
        <w:spacing w:after="240"/>
        <w:rPr>
          <w:rFonts w:ascii="Garamond" w:hAnsi="Garamond"/>
          <w:b/>
          <w:bCs/>
          <w:i/>
          <w:iCs/>
          <w:sz w:val="28"/>
          <w:szCs w:val="28"/>
          <w:lang w:val="en-GB"/>
        </w:rPr>
      </w:pPr>
      <w:r w:rsidRPr="002C0F0D">
        <w:rPr>
          <w:rStyle w:val="Heading2Char"/>
          <w:sz w:val="28"/>
          <w:szCs w:val="28"/>
          <w:lang w:val="en-GB"/>
        </w:rPr>
        <w:t>SUBTITLE 6:</w:t>
      </w:r>
      <w:r w:rsidRPr="002C0F0D">
        <w:rPr>
          <w:rFonts w:ascii="Garamond" w:hAnsi="Garamond"/>
          <w:b/>
          <w:bCs/>
          <w:i/>
          <w:iCs/>
          <w:sz w:val="28"/>
          <w:szCs w:val="28"/>
          <w:lang w:val="en-GB"/>
        </w:rPr>
        <w:t xml:space="preserve"> Challenges</w:t>
      </w:r>
    </w:p>
    <w:p w14:paraId="4E2A5955" w14:textId="06D1C7D4" w:rsidR="002C0308" w:rsidRPr="002C0F0D" w:rsidRDefault="002C0308" w:rsidP="002C0F0D">
      <w:pPr>
        <w:spacing w:after="240"/>
        <w:rPr>
          <w:rFonts w:ascii="Garamond" w:hAnsi="Garamond"/>
          <w:sz w:val="24"/>
          <w:u w:val="single"/>
          <w:lang w:val="en-GB"/>
        </w:rPr>
      </w:pPr>
      <w:r w:rsidRPr="002C0F0D">
        <w:rPr>
          <w:rFonts w:ascii="Garamond" w:hAnsi="Garamond"/>
          <w:sz w:val="24"/>
          <w:u w:val="single"/>
          <w:lang w:val="en-GB"/>
        </w:rPr>
        <w:t>Access over ownership</w:t>
      </w:r>
    </w:p>
    <w:p w14:paraId="0CD54045" w14:textId="4A623400" w:rsidR="000F5186" w:rsidRPr="002C0F0D" w:rsidRDefault="00452F77" w:rsidP="002C0F0D">
      <w:pPr>
        <w:spacing w:after="240"/>
        <w:rPr>
          <w:rFonts w:ascii="Garamond" w:hAnsi="Garamond"/>
          <w:sz w:val="24"/>
          <w:lang w:val="en-GB"/>
        </w:rPr>
      </w:pPr>
      <w:r w:rsidRPr="002C0F0D">
        <w:rPr>
          <w:rFonts w:ascii="Garamond" w:hAnsi="Garamond"/>
          <w:sz w:val="24"/>
          <w:lang w:val="en-GB"/>
        </w:rPr>
        <w:t xml:space="preserve">At UNRWA, owned, self-maintained and self-operated vehicles resulting in a cost of JD2.4/km are potentially more expensive to run in comparison to JD2.2/km for leased and rented vehicles. </w:t>
      </w:r>
      <w:r w:rsidR="002C0308" w:rsidRPr="002C0F0D">
        <w:rPr>
          <w:rFonts w:ascii="Garamond" w:hAnsi="Garamond"/>
          <w:sz w:val="24"/>
          <w:lang w:val="en-GB"/>
        </w:rPr>
        <w:t>It is difficult in Jordan to dispose or sell vehicles, as duty-free vehicles do not have their tax depreciated, making them expensive to sell.</w:t>
      </w:r>
    </w:p>
    <w:p w14:paraId="6BB24DC5" w14:textId="77777777" w:rsidR="00D52B93" w:rsidRPr="002C0F0D" w:rsidRDefault="00D52B93" w:rsidP="002C0F0D">
      <w:pPr>
        <w:spacing w:after="240"/>
        <w:rPr>
          <w:rFonts w:ascii="Garamond" w:hAnsi="Garamond"/>
          <w:sz w:val="24"/>
          <w:u w:val="single"/>
          <w:lang w:val="en-GB"/>
        </w:rPr>
      </w:pPr>
      <w:r w:rsidRPr="002C0F0D">
        <w:rPr>
          <w:rFonts w:ascii="Garamond" w:hAnsi="Garamond"/>
          <w:sz w:val="24"/>
          <w:u w:val="single"/>
          <w:lang w:val="en-GB"/>
        </w:rPr>
        <w:t>The absence of catalytic converters:</w:t>
      </w:r>
    </w:p>
    <w:p w14:paraId="68CAA16B" w14:textId="2D45653D" w:rsidR="009A534A" w:rsidRPr="002C0F0D" w:rsidRDefault="00D52B93" w:rsidP="002C0F0D">
      <w:pPr>
        <w:spacing w:after="240"/>
        <w:rPr>
          <w:rFonts w:ascii="Garamond" w:hAnsi="Garamond"/>
          <w:sz w:val="24"/>
          <w:lang w:val="en-GB"/>
        </w:rPr>
      </w:pPr>
      <w:r w:rsidRPr="002C0F0D">
        <w:rPr>
          <w:rFonts w:ascii="Garamond" w:hAnsi="Garamond"/>
          <w:sz w:val="24"/>
          <w:lang w:val="en-GB"/>
        </w:rPr>
        <w:t>Vehicles without a catalytic convertor will emit toxic pollutants. Unleaded fuel was only introduced in 2008, in Jordan. Many existing vehicles from this period had their catalytic converters removed due to the leaded fuel clogging up the converter. Without it, there is a risk of toxic emissions being released.</w:t>
      </w:r>
    </w:p>
    <w:p w14:paraId="2594A41F" w14:textId="2F894FCF" w:rsidR="00BD1EC9" w:rsidRPr="002C0F0D" w:rsidRDefault="00BD1EC9" w:rsidP="002C0F0D">
      <w:pPr>
        <w:spacing w:after="240"/>
        <w:rPr>
          <w:rFonts w:ascii="Garamond" w:hAnsi="Garamond"/>
          <w:sz w:val="24"/>
          <w:u w:val="single"/>
          <w:lang w:val="en-GB"/>
        </w:rPr>
      </w:pPr>
      <w:r w:rsidRPr="002C0F0D">
        <w:rPr>
          <w:rFonts w:ascii="Garamond" w:hAnsi="Garamond"/>
          <w:sz w:val="24"/>
          <w:u w:val="single"/>
          <w:lang w:val="en-GB"/>
        </w:rPr>
        <w:t xml:space="preserve">High </w:t>
      </w:r>
      <w:r w:rsidR="00F734BF" w:rsidRPr="002C0F0D">
        <w:rPr>
          <w:rFonts w:ascii="Garamond" w:hAnsi="Garamond"/>
          <w:sz w:val="24"/>
          <w:u w:val="single"/>
          <w:lang w:val="en-GB"/>
        </w:rPr>
        <w:t>S</w:t>
      </w:r>
      <w:r w:rsidRPr="002C0F0D">
        <w:rPr>
          <w:rFonts w:ascii="Garamond" w:hAnsi="Garamond"/>
          <w:sz w:val="24"/>
          <w:u w:val="single"/>
          <w:lang w:val="en-GB"/>
        </w:rPr>
        <w:t>ulphur content in Jordanian diesel:</w:t>
      </w:r>
    </w:p>
    <w:p w14:paraId="5268F3A1" w14:textId="26396C38" w:rsidR="00BD1EC9" w:rsidRPr="002C0F0D" w:rsidRDefault="00BD1EC9" w:rsidP="002C0F0D">
      <w:pPr>
        <w:spacing w:after="240"/>
        <w:rPr>
          <w:rFonts w:ascii="Garamond" w:hAnsi="Garamond"/>
          <w:sz w:val="24"/>
          <w:lang w:val="en-GB"/>
        </w:rPr>
      </w:pPr>
      <w:r w:rsidRPr="002C0F0D">
        <w:rPr>
          <w:rFonts w:ascii="Garamond" w:hAnsi="Garamond"/>
          <w:sz w:val="24"/>
          <w:lang w:val="en-GB"/>
        </w:rPr>
        <w:t>The standard diesel fuel in Jordan has a high level of sulphur oxides (SOx of 12,000ppm), whereas in Europe and America it must be kept at 15ppm. High levels can be damaging to human health. In addition, Sulphur can have negative effects on engine life</w:t>
      </w:r>
      <w:r w:rsidR="00F336B9">
        <w:rPr>
          <w:rFonts w:ascii="Garamond" w:hAnsi="Garamond"/>
          <w:sz w:val="24"/>
          <w:lang w:val="en-GB"/>
        </w:rPr>
        <w:t>,</w:t>
      </w:r>
      <w:r w:rsidRPr="002C0F0D">
        <w:rPr>
          <w:rFonts w:ascii="Garamond" w:hAnsi="Garamond"/>
          <w:sz w:val="24"/>
          <w:lang w:val="en-GB"/>
        </w:rPr>
        <w:t xml:space="preserve"> as highlighted below.</w:t>
      </w:r>
    </w:p>
    <w:p w14:paraId="2D12B97F" w14:textId="4254FAC2" w:rsidR="00A26F83" w:rsidRPr="002C0F0D" w:rsidRDefault="00A26F83" w:rsidP="002C0F0D">
      <w:pPr>
        <w:spacing w:after="240"/>
        <w:rPr>
          <w:rFonts w:ascii="Garamond" w:hAnsi="Garamond"/>
          <w:b/>
          <w:bCs/>
          <w:i/>
          <w:iCs/>
          <w:sz w:val="28"/>
          <w:szCs w:val="28"/>
          <w:lang w:val="en-GB"/>
        </w:rPr>
      </w:pPr>
      <w:r w:rsidRPr="002C0F0D">
        <w:rPr>
          <w:rStyle w:val="Heading2Char"/>
          <w:sz w:val="28"/>
          <w:szCs w:val="28"/>
          <w:lang w:val="en-GB"/>
        </w:rPr>
        <w:t>SUBTITLE 7:</w:t>
      </w:r>
      <w:r w:rsidRPr="002C0F0D">
        <w:rPr>
          <w:rFonts w:ascii="Garamond" w:hAnsi="Garamond"/>
          <w:b/>
          <w:bCs/>
          <w:i/>
          <w:iCs/>
          <w:sz w:val="28"/>
          <w:szCs w:val="28"/>
          <w:lang w:val="en-GB"/>
        </w:rPr>
        <w:t xml:space="preserve"> Recommendations</w:t>
      </w:r>
    </w:p>
    <w:p w14:paraId="0486F2D0" w14:textId="7B132DA6" w:rsidR="006E5FAE" w:rsidRPr="002C0F0D" w:rsidRDefault="00E75E38" w:rsidP="002C0F0D">
      <w:pPr>
        <w:spacing w:after="240"/>
        <w:rPr>
          <w:rFonts w:ascii="Garamond" w:hAnsi="Garamond"/>
          <w:sz w:val="24"/>
          <w:u w:val="single"/>
          <w:lang w:val="en-GB"/>
        </w:rPr>
      </w:pPr>
      <w:r w:rsidRPr="002C0F0D">
        <w:rPr>
          <w:rFonts w:ascii="Garamond" w:hAnsi="Garamond"/>
          <w:sz w:val="24"/>
          <w:u w:val="single"/>
          <w:lang w:val="en-GB"/>
        </w:rPr>
        <w:t>Vehicle leasing</w:t>
      </w:r>
    </w:p>
    <w:p w14:paraId="29CB408D" w14:textId="1E7EA6DA" w:rsidR="00E75E38" w:rsidRPr="002C0F0D" w:rsidRDefault="00E75E38" w:rsidP="002C0F0D">
      <w:pPr>
        <w:spacing w:after="240"/>
        <w:rPr>
          <w:rFonts w:ascii="Garamond" w:hAnsi="Garamond"/>
          <w:sz w:val="24"/>
          <w:lang w:val="en-GB"/>
        </w:rPr>
      </w:pPr>
      <w:r w:rsidRPr="002C0F0D">
        <w:rPr>
          <w:rFonts w:ascii="Garamond" w:hAnsi="Garamond"/>
          <w:sz w:val="24"/>
          <w:lang w:val="en-GB"/>
        </w:rPr>
        <w:t xml:space="preserve">As well as cost savings, vehicle maintenance is outsourced and included in the lease, which frees up valuable staff time and resources at the workshop. Leasing </w:t>
      </w:r>
      <w:r w:rsidR="001B0E0A" w:rsidRPr="002C0F0D">
        <w:rPr>
          <w:rFonts w:ascii="Garamond" w:hAnsi="Garamond"/>
          <w:sz w:val="24"/>
          <w:lang w:val="en-GB"/>
        </w:rPr>
        <w:t xml:space="preserve">means that the vehicles are eventually returned, meaning that their end of life/use management is made easy. Vehicle leasing is currently practiced by the World Food Programme in Jordan. </w:t>
      </w:r>
      <w:r w:rsidRPr="002C0F0D">
        <w:rPr>
          <w:rFonts w:ascii="Garamond" w:hAnsi="Garamond"/>
          <w:sz w:val="24"/>
          <w:lang w:val="en-GB"/>
        </w:rPr>
        <w:t xml:space="preserve"> </w:t>
      </w:r>
    </w:p>
    <w:p w14:paraId="39F5923D" w14:textId="2F5B5BC2" w:rsidR="001B0E0A" w:rsidRPr="002C0F0D" w:rsidRDefault="000F3387" w:rsidP="002C0F0D">
      <w:pPr>
        <w:rPr>
          <w:rFonts w:ascii="Garamond" w:hAnsi="Garamond"/>
          <w:sz w:val="24"/>
          <w:szCs w:val="28"/>
          <w:u w:val="single"/>
          <w:lang w:val="en-US"/>
        </w:rPr>
      </w:pPr>
      <w:r w:rsidRPr="002C0F0D">
        <w:rPr>
          <w:rFonts w:ascii="Garamond" w:hAnsi="Garamond"/>
          <w:sz w:val="24"/>
          <w:szCs w:val="28"/>
          <w:u w:val="single"/>
          <w:lang w:val="en-US"/>
        </w:rPr>
        <w:t>Fleet sharing scheme</w:t>
      </w:r>
    </w:p>
    <w:p w14:paraId="439846C3" w14:textId="72E24145" w:rsidR="00E75E38" w:rsidRPr="002C0F0D" w:rsidRDefault="001B0E0A" w:rsidP="002C0F0D">
      <w:pPr>
        <w:rPr>
          <w:rFonts w:ascii="Garamond" w:hAnsi="Garamond"/>
          <w:sz w:val="24"/>
          <w:szCs w:val="28"/>
          <w:lang w:val="en-US"/>
        </w:rPr>
      </w:pPr>
      <w:r w:rsidRPr="002C0F0D">
        <w:rPr>
          <w:rFonts w:ascii="Garamond" w:hAnsi="Garamond"/>
          <w:sz w:val="24"/>
          <w:szCs w:val="28"/>
          <w:lang w:val="en-US"/>
        </w:rPr>
        <w:t xml:space="preserve">Field missions in developing countries that have been exploring fleet sharing options have shown to save some 20% of the vehicles needed, whilst at the same time drivers are kept busy. </w:t>
      </w:r>
      <w:r w:rsidR="0007254D" w:rsidRPr="002C0F0D">
        <w:rPr>
          <w:rFonts w:ascii="Garamond" w:hAnsi="Garamond"/>
          <w:sz w:val="24"/>
          <w:szCs w:val="28"/>
          <w:lang w:val="en-US"/>
        </w:rPr>
        <w:t>Whilst</w:t>
      </w:r>
      <w:r w:rsidR="00E75E38" w:rsidRPr="002C0F0D">
        <w:rPr>
          <w:rFonts w:ascii="Garamond" w:hAnsi="Garamond"/>
          <w:sz w:val="24"/>
          <w:szCs w:val="28"/>
          <w:lang w:val="en-US"/>
        </w:rPr>
        <w:t xml:space="preserve"> it would require the use of fleet software and management tools, pooling vehicles in UNRWA alone could potentially save about 30 saloon vehicles and their more frequent use would also translate into a newer fleet as the cars reach their end of life sooner.</w:t>
      </w:r>
    </w:p>
    <w:p w14:paraId="493E8898" w14:textId="39F2AF0B" w:rsidR="000F3387" w:rsidRPr="002C0F0D" w:rsidRDefault="000F3387" w:rsidP="002C0F0D">
      <w:pPr>
        <w:rPr>
          <w:rFonts w:ascii="Garamond" w:hAnsi="Garamond"/>
          <w:sz w:val="24"/>
          <w:szCs w:val="28"/>
          <w:u w:val="single"/>
          <w:lang w:val="en-US"/>
        </w:rPr>
      </w:pPr>
      <w:r w:rsidRPr="002C0F0D">
        <w:rPr>
          <w:rFonts w:ascii="Garamond" w:hAnsi="Garamond"/>
          <w:sz w:val="24"/>
          <w:szCs w:val="28"/>
          <w:u w:val="single"/>
          <w:lang w:val="en-US"/>
        </w:rPr>
        <w:t xml:space="preserve">Driver training </w:t>
      </w:r>
    </w:p>
    <w:p w14:paraId="35A7BC5C" w14:textId="3AA8EC5B" w:rsidR="000F3387" w:rsidRPr="002C0F0D" w:rsidRDefault="00F50A0A" w:rsidP="002C0F0D">
      <w:pPr>
        <w:rPr>
          <w:rFonts w:ascii="Garamond" w:hAnsi="Garamond"/>
          <w:sz w:val="24"/>
          <w:szCs w:val="28"/>
          <w:lang w:val="en-US"/>
        </w:rPr>
      </w:pPr>
      <w:r w:rsidRPr="002C0F0D">
        <w:rPr>
          <w:rFonts w:ascii="Garamond" w:hAnsi="Garamond"/>
          <w:sz w:val="24"/>
          <w:szCs w:val="28"/>
          <w:lang w:val="en-US"/>
        </w:rPr>
        <w:t xml:space="preserve">It could be possible to save up to 10% of fuel usage by training drivers in eco-driving, which could equate to roughly JD70,000 per annum for UNRWA. </w:t>
      </w:r>
      <w:r w:rsidR="00C12499" w:rsidRPr="002C0F0D">
        <w:rPr>
          <w:rFonts w:ascii="Garamond" w:hAnsi="Garamond"/>
          <w:sz w:val="24"/>
          <w:szCs w:val="28"/>
          <w:lang w:val="en-US"/>
        </w:rPr>
        <w:t>Fleet software can</w:t>
      </w:r>
      <w:r w:rsidR="00667411" w:rsidRPr="002C0F0D">
        <w:rPr>
          <w:rFonts w:ascii="Garamond" w:hAnsi="Garamond"/>
          <w:sz w:val="24"/>
          <w:szCs w:val="28"/>
          <w:lang w:val="en-US"/>
        </w:rPr>
        <w:t xml:space="preserve"> also</w:t>
      </w:r>
      <w:r w:rsidR="00C12499" w:rsidRPr="002C0F0D">
        <w:rPr>
          <w:rFonts w:ascii="Garamond" w:hAnsi="Garamond"/>
          <w:sz w:val="24"/>
          <w:szCs w:val="28"/>
          <w:lang w:val="en-US"/>
        </w:rPr>
        <w:t xml:space="preserve"> track driver behaviour, including their location and safety.</w:t>
      </w:r>
      <w:r w:rsidR="00667411" w:rsidRPr="002C0F0D">
        <w:rPr>
          <w:rFonts w:ascii="Garamond" w:hAnsi="Garamond"/>
          <w:sz w:val="24"/>
          <w:szCs w:val="28"/>
          <w:lang w:val="en-US"/>
        </w:rPr>
        <w:t xml:space="preserve"> </w:t>
      </w:r>
      <w:r w:rsidR="00C12499" w:rsidRPr="002C0F0D">
        <w:rPr>
          <w:rFonts w:ascii="Garamond" w:hAnsi="Garamond"/>
          <w:sz w:val="24"/>
          <w:szCs w:val="28"/>
          <w:lang w:val="en-US"/>
        </w:rPr>
        <w:t xml:space="preserve"> </w:t>
      </w:r>
    </w:p>
    <w:p w14:paraId="1F30E2B1" w14:textId="5B9F814F" w:rsidR="00667411" w:rsidRPr="002C0F0D" w:rsidRDefault="00667411" w:rsidP="002C0F0D">
      <w:pPr>
        <w:rPr>
          <w:rFonts w:ascii="Garamond" w:hAnsi="Garamond"/>
          <w:sz w:val="24"/>
          <w:szCs w:val="28"/>
          <w:u w:val="single"/>
          <w:lang w:val="en-US"/>
        </w:rPr>
      </w:pPr>
      <w:r w:rsidRPr="002C0F0D">
        <w:rPr>
          <w:rFonts w:ascii="Garamond" w:hAnsi="Garamond"/>
          <w:sz w:val="24"/>
          <w:szCs w:val="28"/>
          <w:u w:val="single"/>
          <w:lang w:val="en-US"/>
        </w:rPr>
        <w:t>Working catalytic converter:</w:t>
      </w:r>
    </w:p>
    <w:p w14:paraId="317564F0" w14:textId="7FAE0D58" w:rsidR="00667411" w:rsidRPr="002C0F0D" w:rsidRDefault="00667411" w:rsidP="002C0F0D">
      <w:pPr>
        <w:rPr>
          <w:rFonts w:ascii="Garamond" w:hAnsi="Garamond"/>
          <w:sz w:val="24"/>
          <w:szCs w:val="28"/>
          <w:lang w:val="en-US"/>
        </w:rPr>
      </w:pPr>
      <w:r w:rsidRPr="002C0F0D">
        <w:rPr>
          <w:rFonts w:ascii="Garamond" w:hAnsi="Garamond"/>
          <w:sz w:val="24"/>
          <w:szCs w:val="28"/>
          <w:lang w:val="en-US"/>
        </w:rPr>
        <w:t>All gasoline vehicles should have a working catalytic converter in place. Given that unleaded fuel is now ubiquitously used in Jordan, these devices can operate properly and need not be removed.</w:t>
      </w:r>
    </w:p>
    <w:p w14:paraId="5342F815" w14:textId="6A9F9133" w:rsidR="00667411" w:rsidRPr="002C0F0D" w:rsidRDefault="00667411" w:rsidP="002C0F0D">
      <w:pPr>
        <w:rPr>
          <w:rFonts w:ascii="Garamond" w:hAnsi="Garamond"/>
          <w:sz w:val="24"/>
          <w:szCs w:val="28"/>
          <w:u w:val="single"/>
          <w:lang w:val="en-US"/>
        </w:rPr>
      </w:pPr>
      <w:r w:rsidRPr="002C0F0D">
        <w:rPr>
          <w:rFonts w:ascii="Garamond" w:hAnsi="Garamond"/>
          <w:sz w:val="24"/>
          <w:szCs w:val="28"/>
          <w:u w:val="single"/>
          <w:lang w:val="en-US"/>
        </w:rPr>
        <w:lastRenderedPageBreak/>
        <w:t>Reduced Sulphur levels</w:t>
      </w:r>
    </w:p>
    <w:p w14:paraId="06924F1C" w14:textId="770A01A5" w:rsidR="00667411" w:rsidRPr="002C0F0D" w:rsidRDefault="00667411" w:rsidP="002C0F0D">
      <w:pPr>
        <w:rPr>
          <w:rFonts w:ascii="Garamond" w:hAnsi="Garamond"/>
          <w:sz w:val="24"/>
          <w:szCs w:val="28"/>
          <w:lang w:val="en-US"/>
        </w:rPr>
      </w:pPr>
      <w:r w:rsidRPr="002C0F0D">
        <w:rPr>
          <w:rFonts w:ascii="Garamond" w:hAnsi="Garamond"/>
          <w:sz w:val="24"/>
          <w:szCs w:val="28"/>
          <w:lang w:val="en-US"/>
        </w:rPr>
        <w:t>UNRWA should be in a positi</w:t>
      </w:r>
      <w:r w:rsidR="0007254D" w:rsidRPr="002C0F0D">
        <w:rPr>
          <w:rFonts w:ascii="Garamond" w:hAnsi="Garamond"/>
          <w:sz w:val="24"/>
          <w:szCs w:val="28"/>
          <w:lang w:val="en-US"/>
        </w:rPr>
        <w:t xml:space="preserve">on to negotiate and obtain 350 </w:t>
      </w:r>
      <w:r w:rsidR="00FE6505" w:rsidRPr="002C0F0D">
        <w:rPr>
          <w:rFonts w:ascii="Garamond" w:hAnsi="Garamond"/>
          <w:sz w:val="24"/>
          <w:szCs w:val="28"/>
          <w:lang w:val="en-US"/>
        </w:rPr>
        <w:t>Ppm</w:t>
      </w:r>
      <w:r w:rsidRPr="002C0F0D">
        <w:rPr>
          <w:rFonts w:ascii="Garamond" w:hAnsi="Garamond"/>
          <w:sz w:val="24"/>
          <w:szCs w:val="28"/>
          <w:lang w:val="en-US"/>
        </w:rPr>
        <w:t xml:space="preserve">-Sulphur diesel fuel. The availability of the amounts and costs of this should be ascertained. 350 </w:t>
      </w:r>
      <w:r w:rsidR="0007254D" w:rsidRPr="002C0F0D">
        <w:rPr>
          <w:rFonts w:ascii="Garamond" w:hAnsi="Garamond"/>
          <w:sz w:val="24"/>
          <w:szCs w:val="28"/>
          <w:lang w:val="en-US"/>
        </w:rPr>
        <w:t>p</w:t>
      </w:r>
      <w:r w:rsidRPr="002C0F0D">
        <w:rPr>
          <w:rFonts w:ascii="Garamond" w:hAnsi="Garamond"/>
          <w:sz w:val="24"/>
          <w:szCs w:val="28"/>
          <w:lang w:val="en-US"/>
        </w:rPr>
        <w:t>pm diesel will make a big difference to the emission levels from diesel vehicles.</w:t>
      </w:r>
    </w:p>
    <w:p w14:paraId="66D35702" w14:textId="1536F9EA" w:rsidR="00667411" w:rsidRPr="002C0F0D" w:rsidRDefault="00667411" w:rsidP="002C0F0D">
      <w:pPr>
        <w:rPr>
          <w:rFonts w:ascii="Garamond" w:hAnsi="Garamond"/>
          <w:sz w:val="24"/>
          <w:szCs w:val="28"/>
          <w:u w:val="single"/>
          <w:lang w:val="en-US"/>
        </w:rPr>
      </w:pPr>
      <w:r w:rsidRPr="002C0F0D">
        <w:rPr>
          <w:rFonts w:ascii="Garamond" w:hAnsi="Garamond"/>
          <w:sz w:val="24"/>
          <w:szCs w:val="28"/>
          <w:u w:val="single"/>
          <w:lang w:val="en-US"/>
        </w:rPr>
        <w:t>More vehicle emissions testing</w:t>
      </w:r>
    </w:p>
    <w:p w14:paraId="791E34C3" w14:textId="29569891" w:rsidR="00667411" w:rsidRPr="002C0F0D" w:rsidRDefault="00667411" w:rsidP="002C0F0D">
      <w:pPr>
        <w:rPr>
          <w:rFonts w:ascii="Garamond" w:hAnsi="Garamond"/>
          <w:sz w:val="24"/>
          <w:szCs w:val="28"/>
          <w:lang w:val="en-US"/>
        </w:rPr>
      </w:pPr>
      <w:r w:rsidRPr="002C0F0D">
        <w:rPr>
          <w:rFonts w:ascii="Garamond" w:hAnsi="Garamond"/>
          <w:sz w:val="24"/>
          <w:szCs w:val="28"/>
          <w:lang w:val="en-US"/>
        </w:rPr>
        <w:t xml:space="preserve">An annual carbon-monoxide tail-pipe test for gasoline vehicles and a simple opacity test of effluent from diesel vehicle tailpipes should be carried out. </w:t>
      </w:r>
      <w:r w:rsidR="005F6A7E" w:rsidRPr="002C0F0D">
        <w:rPr>
          <w:rFonts w:ascii="Garamond" w:hAnsi="Garamond"/>
          <w:sz w:val="24"/>
          <w:szCs w:val="28"/>
          <w:lang w:val="en-US"/>
        </w:rPr>
        <w:t xml:space="preserve">Probes can be used and </w:t>
      </w:r>
      <w:r w:rsidR="002C032F" w:rsidRPr="002C0F0D">
        <w:rPr>
          <w:rFonts w:ascii="Garamond" w:hAnsi="Garamond"/>
          <w:sz w:val="24"/>
          <w:szCs w:val="28"/>
          <w:lang w:val="en-US"/>
        </w:rPr>
        <w:t xml:space="preserve">are </w:t>
      </w:r>
      <w:r w:rsidR="005F6A7E" w:rsidRPr="002C0F0D">
        <w:rPr>
          <w:rFonts w:ascii="Garamond" w:hAnsi="Garamond"/>
          <w:sz w:val="24"/>
          <w:szCs w:val="28"/>
          <w:lang w:val="en-US"/>
        </w:rPr>
        <w:t xml:space="preserve">easily obtainable for the test, whilst an opacity test can be undertaken by checking the emission colour or shade against a chart. These emissions tests should be a simple and cheap enough method of ascertaining the performances of catalytic converter engines. </w:t>
      </w:r>
    </w:p>
    <w:p w14:paraId="65CD95D3" w14:textId="450022B6" w:rsidR="00B051E4" w:rsidRPr="002C0F0D" w:rsidRDefault="00B051E4" w:rsidP="002C0F0D">
      <w:pPr>
        <w:spacing w:after="240"/>
        <w:jc w:val="center"/>
        <w:rPr>
          <w:rFonts w:ascii="Garamond" w:hAnsi="Garamond"/>
          <w:b/>
          <w:bCs/>
          <w:sz w:val="24"/>
          <w:szCs w:val="28"/>
          <w:lang w:val="en-US"/>
        </w:rPr>
      </w:pPr>
      <w:r w:rsidRPr="002C0F0D">
        <w:rPr>
          <w:rFonts w:ascii="Garamond" w:hAnsi="Garamond"/>
          <w:b/>
          <w:bCs/>
          <w:sz w:val="24"/>
          <w:szCs w:val="28"/>
          <w:lang w:val="en-US"/>
        </w:rPr>
        <w:t>Communication and Outreach</w:t>
      </w:r>
    </w:p>
    <w:p w14:paraId="195A0749" w14:textId="4B0344F8" w:rsidR="00042AB3" w:rsidRPr="002C0F0D" w:rsidRDefault="00042AB3" w:rsidP="002C0F0D">
      <w:pPr>
        <w:spacing w:after="240"/>
        <w:rPr>
          <w:rFonts w:ascii="Garamond" w:hAnsi="Garamond"/>
          <w:b/>
          <w:bCs/>
          <w:i/>
          <w:iCs/>
          <w:sz w:val="28"/>
          <w:szCs w:val="28"/>
          <w:lang w:val="en-GB"/>
        </w:rPr>
      </w:pPr>
      <w:r w:rsidRPr="002C0F0D">
        <w:rPr>
          <w:rStyle w:val="Heading2Char"/>
          <w:sz w:val="28"/>
          <w:szCs w:val="28"/>
          <w:lang w:val="en-GB"/>
        </w:rPr>
        <w:t>SUBTITLE 8:</w:t>
      </w:r>
      <w:r w:rsidRPr="002C0F0D">
        <w:rPr>
          <w:rFonts w:ascii="Garamond" w:hAnsi="Garamond"/>
          <w:b/>
          <w:bCs/>
          <w:i/>
          <w:iCs/>
          <w:sz w:val="28"/>
          <w:szCs w:val="28"/>
          <w:lang w:val="en-GB"/>
        </w:rPr>
        <w:t xml:space="preserve"> Status</w:t>
      </w:r>
    </w:p>
    <w:p w14:paraId="0093DD80" w14:textId="791B83DD" w:rsidR="00267F62" w:rsidRPr="002C0F0D" w:rsidRDefault="00267F62" w:rsidP="002C0F0D">
      <w:pPr>
        <w:spacing w:after="240"/>
        <w:rPr>
          <w:rFonts w:ascii="Garamond" w:hAnsi="Garamond"/>
          <w:sz w:val="24"/>
          <w:szCs w:val="28"/>
          <w:lang w:val="en-US"/>
        </w:rPr>
      </w:pPr>
      <w:r w:rsidRPr="002C0F0D">
        <w:rPr>
          <w:rFonts w:ascii="Garamond" w:hAnsi="Garamond"/>
          <w:sz w:val="24"/>
          <w:szCs w:val="28"/>
          <w:lang w:val="en-US"/>
        </w:rPr>
        <w:t>A successful communication and outreach programme will ensure a smooth transition to an energy efficient organisation. Buy-in from all levels of an organisation is required to implement long-term improvements in building GHG emissions. A comprehensive communication and outreach programme should be made a part of UNRWA’s strategy to improve its GHG emissions.</w:t>
      </w:r>
    </w:p>
    <w:p w14:paraId="1469A2B7" w14:textId="7688FB5A" w:rsidR="00042AB3" w:rsidRPr="002C0F0D" w:rsidRDefault="00042AB3" w:rsidP="002C0F0D">
      <w:pPr>
        <w:spacing w:after="240"/>
        <w:rPr>
          <w:rFonts w:ascii="Garamond" w:hAnsi="Garamond"/>
          <w:b/>
          <w:bCs/>
          <w:i/>
          <w:iCs/>
          <w:sz w:val="28"/>
          <w:szCs w:val="28"/>
          <w:lang w:val="en-GB"/>
        </w:rPr>
      </w:pPr>
      <w:r w:rsidRPr="002C0F0D">
        <w:rPr>
          <w:rStyle w:val="Heading2Char"/>
          <w:sz w:val="28"/>
          <w:szCs w:val="28"/>
          <w:lang w:val="en-GB"/>
        </w:rPr>
        <w:t>SUBTITLE 9:</w:t>
      </w:r>
      <w:r w:rsidRPr="002C0F0D">
        <w:rPr>
          <w:rFonts w:ascii="Garamond" w:hAnsi="Garamond"/>
          <w:b/>
          <w:bCs/>
          <w:i/>
          <w:iCs/>
          <w:sz w:val="28"/>
          <w:szCs w:val="28"/>
          <w:lang w:val="en-GB"/>
        </w:rPr>
        <w:t xml:space="preserve"> Achievements</w:t>
      </w:r>
    </w:p>
    <w:p w14:paraId="1E6CBA83" w14:textId="1E5EB69C" w:rsidR="00267F62" w:rsidRPr="002C0F0D" w:rsidRDefault="00267F62" w:rsidP="002C0F0D">
      <w:pPr>
        <w:spacing w:after="240"/>
        <w:rPr>
          <w:rFonts w:ascii="Garamond" w:hAnsi="Garamond"/>
          <w:sz w:val="24"/>
          <w:szCs w:val="28"/>
          <w:lang w:val="en-US"/>
        </w:rPr>
      </w:pPr>
      <w:r w:rsidRPr="002C0F0D">
        <w:rPr>
          <w:rFonts w:ascii="Garamond" w:hAnsi="Garamond"/>
          <w:sz w:val="24"/>
          <w:szCs w:val="28"/>
          <w:lang w:val="en-US"/>
        </w:rPr>
        <w:t xml:space="preserve">The </w:t>
      </w:r>
      <w:r w:rsidR="00FE6505" w:rsidRPr="002C0F0D">
        <w:rPr>
          <w:rFonts w:ascii="Garamond" w:hAnsi="Garamond"/>
          <w:sz w:val="24"/>
          <w:szCs w:val="28"/>
          <w:lang w:val="en-US"/>
        </w:rPr>
        <w:t>exist</w:t>
      </w:r>
      <w:r w:rsidR="00FE6505">
        <w:rPr>
          <w:rFonts w:ascii="Garamond" w:hAnsi="Garamond"/>
          <w:sz w:val="24"/>
          <w:szCs w:val="28"/>
          <w:lang w:val="en-US"/>
        </w:rPr>
        <w:t>ence</w:t>
      </w:r>
      <w:r w:rsidR="00F336B9">
        <w:rPr>
          <w:rFonts w:ascii="Garamond" w:hAnsi="Garamond"/>
          <w:sz w:val="24"/>
          <w:szCs w:val="28"/>
          <w:lang w:val="en-US"/>
        </w:rPr>
        <w:t xml:space="preserve"> of</w:t>
      </w:r>
      <w:r w:rsidRPr="002C0F0D">
        <w:rPr>
          <w:rFonts w:ascii="Garamond" w:hAnsi="Garamond"/>
          <w:sz w:val="24"/>
          <w:szCs w:val="28"/>
          <w:lang w:val="en-US"/>
        </w:rPr>
        <w:t xml:space="preserve"> dedicated staff in the UNRWA headquarters and field office that have committed to improving sustainability within the organisation is an exciting beginning. These staff are ideal candidates to be the champions moving forward, for GHG emissions reduction at UNRWA. </w:t>
      </w:r>
    </w:p>
    <w:p w14:paraId="36F59B1B" w14:textId="77777777" w:rsidR="00042AB3" w:rsidRPr="002C0F0D" w:rsidRDefault="00042AB3" w:rsidP="002C0F0D">
      <w:pPr>
        <w:spacing w:after="240"/>
        <w:rPr>
          <w:rFonts w:ascii="Garamond" w:hAnsi="Garamond"/>
          <w:b/>
          <w:bCs/>
          <w:i/>
          <w:iCs/>
          <w:sz w:val="28"/>
          <w:szCs w:val="28"/>
          <w:lang w:val="en-GB"/>
        </w:rPr>
      </w:pPr>
      <w:r w:rsidRPr="002C0F0D">
        <w:rPr>
          <w:rStyle w:val="Heading2Char"/>
          <w:sz w:val="28"/>
          <w:szCs w:val="28"/>
          <w:lang w:val="en-GB"/>
        </w:rPr>
        <w:t>SUBTITLE 10:</w:t>
      </w:r>
      <w:r w:rsidRPr="002C0F0D">
        <w:rPr>
          <w:rFonts w:ascii="Garamond" w:hAnsi="Garamond"/>
          <w:b/>
          <w:bCs/>
          <w:i/>
          <w:iCs/>
          <w:sz w:val="28"/>
          <w:szCs w:val="28"/>
          <w:lang w:val="en-GB"/>
        </w:rPr>
        <w:t xml:space="preserve"> Challenges</w:t>
      </w:r>
    </w:p>
    <w:p w14:paraId="12D140B8" w14:textId="4E00877E" w:rsidR="003B06FB" w:rsidRPr="002C0F0D" w:rsidRDefault="003B06FB" w:rsidP="002C0F0D">
      <w:pPr>
        <w:rPr>
          <w:rFonts w:ascii="Garamond" w:hAnsi="Garamond"/>
          <w:sz w:val="24"/>
          <w:u w:val="single"/>
          <w:lang w:val="en-GB"/>
        </w:rPr>
      </w:pPr>
      <w:r w:rsidRPr="002C0F0D">
        <w:rPr>
          <w:rFonts w:ascii="Garamond" w:hAnsi="Garamond"/>
          <w:sz w:val="24"/>
          <w:u w:val="single"/>
          <w:lang w:val="en-GB"/>
        </w:rPr>
        <w:t>Tariff review</w:t>
      </w:r>
    </w:p>
    <w:p w14:paraId="7EFE9C21" w14:textId="444032C4" w:rsidR="003B06FB" w:rsidRPr="002C0F0D" w:rsidRDefault="003B06FB" w:rsidP="002C0F0D">
      <w:pPr>
        <w:rPr>
          <w:rFonts w:ascii="Garamond" w:hAnsi="Garamond"/>
          <w:sz w:val="24"/>
          <w:szCs w:val="28"/>
          <w:lang w:val="en-US"/>
        </w:rPr>
      </w:pPr>
      <w:r w:rsidRPr="002C0F0D">
        <w:rPr>
          <w:rFonts w:ascii="Garamond" w:hAnsi="Garamond"/>
          <w:sz w:val="24"/>
          <w:szCs w:val="28"/>
          <w:lang w:val="en-US"/>
        </w:rPr>
        <w:t xml:space="preserve">Currently electricity metering in UNRWA is calculated based on a residential tariff, which has a very high cost per kWh, after a comparably low fixed amount of energy consumption per month. </w:t>
      </w:r>
      <w:r w:rsidR="00AC5415" w:rsidRPr="002C0F0D">
        <w:rPr>
          <w:rFonts w:ascii="Garamond" w:hAnsi="Garamond"/>
          <w:sz w:val="24"/>
          <w:szCs w:val="28"/>
          <w:lang w:val="en-US"/>
        </w:rPr>
        <w:t>This tariff is meant for residential houses with a typical occupancy amounting to ten persons, whereas in UNRWA, more than 500</w:t>
      </w:r>
      <w:r w:rsidR="00DA5D28" w:rsidRPr="002C0F0D">
        <w:rPr>
          <w:rFonts w:ascii="Garamond" w:hAnsi="Garamond"/>
          <w:sz w:val="24"/>
          <w:szCs w:val="28"/>
          <w:lang w:val="en-US"/>
        </w:rPr>
        <w:t xml:space="preserve"> persons occupy the space.</w:t>
      </w:r>
    </w:p>
    <w:p w14:paraId="012092F6" w14:textId="60F0A349" w:rsidR="003B06FB" w:rsidRPr="002C0F0D" w:rsidRDefault="00C40BF8" w:rsidP="002C0F0D">
      <w:pPr>
        <w:rPr>
          <w:rFonts w:ascii="Garamond" w:hAnsi="Garamond"/>
          <w:sz w:val="24"/>
          <w:u w:val="single"/>
          <w:lang w:val="en-GB"/>
        </w:rPr>
      </w:pPr>
      <w:r w:rsidRPr="002C0F0D">
        <w:rPr>
          <w:rFonts w:ascii="Garamond" w:hAnsi="Garamond"/>
          <w:sz w:val="24"/>
          <w:u w:val="single"/>
          <w:lang w:val="en-GB"/>
        </w:rPr>
        <w:t>M</w:t>
      </w:r>
      <w:r w:rsidR="003B06FB" w:rsidRPr="002C0F0D">
        <w:rPr>
          <w:rFonts w:ascii="Garamond" w:hAnsi="Garamond"/>
          <w:sz w:val="24"/>
          <w:u w:val="single"/>
          <w:lang w:val="en-GB"/>
        </w:rPr>
        <w:t>otivation</w:t>
      </w:r>
      <w:r w:rsidR="00894497" w:rsidRPr="002C0F0D">
        <w:rPr>
          <w:rFonts w:ascii="Garamond" w:hAnsi="Garamond"/>
          <w:sz w:val="24"/>
          <w:u w:val="single"/>
          <w:lang w:val="en-GB"/>
        </w:rPr>
        <w:t>, technical information and awareness</w:t>
      </w:r>
    </w:p>
    <w:p w14:paraId="59B2A721" w14:textId="01BD8CDC" w:rsidR="003B06FB" w:rsidRPr="002C0F0D" w:rsidRDefault="003B06FB" w:rsidP="002C0F0D">
      <w:pPr>
        <w:rPr>
          <w:rFonts w:ascii="Garamond" w:hAnsi="Garamond"/>
          <w:sz w:val="24"/>
          <w:lang w:val="en-GB"/>
        </w:rPr>
      </w:pPr>
      <w:r w:rsidRPr="002C0F0D">
        <w:rPr>
          <w:rFonts w:ascii="Garamond" w:hAnsi="Garamond"/>
          <w:sz w:val="24"/>
          <w:lang w:val="en-GB"/>
        </w:rPr>
        <w:t>Occupants’ behaviour plays a big role in ensuring the success of energy efficiency implementation in any existing building. Implementation will fail when occupants choose to bypass technologies that promote efficiency and sustainability.</w:t>
      </w:r>
    </w:p>
    <w:p w14:paraId="03A57A01" w14:textId="77777777" w:rsidR="003B06FB" w:rsidRPr="002C0F0D" w:rsidRDefault="003B06FB" w:rsidP="002C0F0D">
      <w:pPr>
        <w:rPr>
          <w:rFonts w:ascii="Garamond" w:hAnsi="Garamond"/>
          <w:sz w:val="24"/>
          <w:lang w:val="en-GB"/>
        </w:rPr>
      </w:pPr>
      <w:r w:rsidRPr="002C0F0D">
        <w:rPr>
          <w:rFonts w:ascii="Garamond" w:hAnsi="Garamond"/>
          <w:sz w:val="24"/>
          <w:lang w:val="en-GB"/>
        </w:rPr>
        <w:t xml:space="preserve">Most staff are generally unaware of the many health benefits of an energy efficient building. Many are also unaware of the abundant technical opportunities that are available to reduce buildings’ GHG emissions. </w:t>
      </w:r>
    </w:p>
    <w:p w14:paraId="7E462F48" w14:textId="78DB5354" w:rsidR="003B06FB" w:rsidRPr="002C0F0D" w:rsidRDefault="00C40BF8" w:rsidP="002C0F0D">
      <w:pPr>
        <w:rPr>
          <w:rFonts w:ascii="Garamond" w:hAnsi="Garamond"/>
          <w:sz w:val="24"/>
          <w:u w:val="single"/>
          <w:lang w:val="en-GB"/>
        </w:rPr>
      </w:pPr>
      <w:r w:rsidRPr="002C0F0D">
        <w:rPr>
          <w:rFonts w:ascii="Garamond" w:hAnsi="Garamond"/>
          <w:sz w:val="24"/>
          <w:u w:val="single"/>
          <w:lang w:val="en-GB"/>
        </w:rPr>
        <w:t>Funding</w:t>
      </w:r>
      <w:r w:rsidR="003B06FB" w:rsidRPr="002C0F0D">
        <w:rPr>
          <w:rFonts w:ascii="Garamond" w:hAnsi="Garamond"/>
          <w:sz w:val="24"/>
          <w:u w:val="single"/>
          <w:lang w:val="en-GB"/>
        </w:rPr>
        <w:t xml:space="preserve"> information and awareness</w:t>
      </w:r>
    </w:p>
    <w:p w14:paraId="6590E2D4" w14:textId="19A9E2DB" w:rsidR="003B06FB" w:rsidRPr="002C0F0D" w:rsidRDefault="003B06FB" w:rsidP="002C0F0D">
      <w:pPr>
        <w:rPr>
          <w:rFonts w:ascii="Garamond" w:hAnsi="Garamond"/>
          <w:sz w:val="24"/>
          <w:lang w:val="en-GB"/>
        </w:rPr>
      </w:pPr>
      <w:r w:rsidRPr="002C0F0D">
        <w:rPr>
          <w:rFonts w:ascii="Garamond" w:hAnsi="Garamond"/>
          <w:sz w:val="24"/>
          <w:lang w:val="en-GB"/>
        </w:rPr>
        <w:t>In the absence of knowledge regarding the costs involved in adopting energy efficiency measures and the way to calculate the direct and indirect savings, it is difficult to properly assess the cost-effectiveness of the payback period for such an investment. There is currently no specific fund for GHG emissions reduction in UNRWA.</w:t>
      </w:r>
    </w:p>
    <w:p w14:paraId="61CC62DF" w14:textId="77777777" w:rsidR="00FE6505" w:rsidRDefault="00FE6505" w:rsidP="002C0F0D">
      <w:pPr>
        <w:spacing w:after="240"/>
        <w:rPr>
          <w:rStyle w:val="Heading2Char"/>
          <w:sz w:val="28"/>
          <w:szCs w:val="28"/>
          <w:lang w:val="en-GB"/>
        </w:rPr>
      </w:pPr>
    </w:p>
    <w:p w14:paraId="4DB28BA4" w14:textId="3290384B" w:rsidR="00042AB3" w:rsidRPr="002C0F0D" w:rsidRDefault="00042AB3" w:rsidP="002C0F0D">
      <w:pPr>
        <w:spacing w:after="240"/>
        <w:rPr>
          <w:rFonts w:ascii="Garamond" w:hAnsi="Garamond"/>
          <w:b/>
          <w:bCs/>
          <w:i/>
          <w:iCs/>
          <w:sz w:val="28"/>
          <w:szCs w:val="28"/>
          <w:lang w:val="en-GB"/>
        </w:rPr>
      </w:pPr>
      <w:r w:rsidRPr="002C0F0D">
        <w:rPr>
          <w:rStyle w:val="Heading2Char"/>
          <w:sz w:val="28"/>
          <w:szCs w:val="28"/>
          <w:lang w:val="en-GB"/>
        </w:rPr>
        <w:lastRenderedPageBreak/>
        <w:t>SUBTITLE 11:</w:t>
      </w:r>
      <w:r w:rsidRPr="002C0F0D">
        <w:rPr>
          <w:rFonts w:ascii="Garamond" w:hAnsi="Garamond"/>
          <w:b/>
          <w:bCs/>
          <w:i/>
          <w:iCs/>
          <w:sz w:val="28"/>
          <w:szCs w:val="28"/>
          <w:lang w:val="en-GB"/>
        </w:rPr>
        <w:t xml:space="preserve"> Recommendations</w:t>
      </w:r>
    </w:p>
    <w:p w14:paraId="5D2328F4" w14:textId="3DBB7526" w:rsidR="00DA5D28" w:rsidRPr="002C0F0D" w:rsidRDefault="00DA5D28" w:rsidP="002C0F0D">
      <w:pPr>
        <w:rPr>
          <w:rFonts w:ascii="Garamond" w:hAnsi="Garamond"/>
          <w:sz w:val="24"/>
          <w:szCs w:val="28"/>
          <w:u w:val="single"/>
          <w:lang w:val="en-US"/>
        </w:rPr>
      </w:pPr>
      <w:r w:rsidRPr="002C0F0D">
        <w:rPr>
          <w:rFonts w:ascii="Garamond" w:hAnsi="Garamond"/>
          <w:sz w:val="24"/>
          <w:szCs w:val="28"/>
          <w:u w:val="single"/>
          <w:lang w:val="en-US"/>
        </w:rPr>
        <w:t>Change to commercial tariff</w:t>
      </w:r>
    </w:p>
    <w:p w14:paraId="66CE15A0" w14:textId="5FD17A49" w:rsidR="00DA5D28" w:rsidRPr="002C0F0D" w:rsidRDefault="00DA5D28" w:rsidP="002C0F0D">
      <w:pPr>
        <w:rPr>
          <w:rFonts w:ascii="Garamond" w:hAnsi="Garamond"/>
          <w:sz w:val="24"/>
          <w:szCs w:val="28"/>
          <w:lang w:val="en-US"/>
        </w:rPr>
      </w:pPr>
      <w:r w:rsidRPr="002C0F0D">
        <w:rPr>
          <w:rFonts w:ascii="Garamond" w:hAnsi="Garamond"/>
          <w:sz w:val="24"/>
          <w:szCs w:val="28"/>
          <w:lang w:val="en-US"/>
        </w:rPr>
        <w:t>A change of tariff to a conventional office, commercial tariff will provide significant immediate energy cost reduction.</w:t>
      </w:r>
    </w:p>
    <w:p w14:paraId="109FD4C0" w14:textId="4D6A4538" w:rsidR="00DA5D28" w:rsidRPr="002C0F0D" w:rsidRDefault="00DA5D28" w:rsidP="002C0F0D">
      <w:pPr>
        <w:rPr>
          <w:rFonts w:ascii="Garamond" w:hAnsi="Garamond"/>
          <w:sz w:val="24"/>
          <w:szCs w:val="28"/>
          <w:u w:val="single"/>
          <w:lang w:val="en-US"/>
        </w:rPr>
      </w:pPr>
      <w:r w:rsidRPr="002C0F0D">
        <w:rPr>
          <w:rFonts w:ascii="Garamond" w:hAnsi="Garamond"/>
          <w:sz w:val="24"/>
          <w:szCs w:val="28"/>
          <w:u w:val="single"/>
          <w:lang w:val="en-US"/>
        </w:rPr>
        <w:t>Appointing champions</w:t>
      </w:r>
    </w:p>
    <w:p w14:paraId="36D66BB6" w14:textId="5DB0100E" w:rsidR="00DA5D28" w:rsidRPr="002C0F0D" w:rsidRDefault="00533278" w:rsidP="002C0F0D">
      <w:pPr>
        <w:rPr>
          <w:rFonts w:ascii="Garamond" w:hAnsi="Garamond"/>
          <w:sz w:val="24"/>
          <w:szCs w:val="28"/>
          <w:lang w:val="en-US"/>
        </w:rPr>
      </w:pPr>
      <w:r w:rsidRPr="002C0F0D">
        <w:rPr>
          <w:rFonts w:ascii="Garamond" w:hAnsi="Garamond"/>
          <w:sz w:val="24"/>
          <w:szCs w:val="28"/>
          <w:lang w:val="en-US"/>
        </w:rPr>
        <w:t>There may be a need, at UNRWA, to appoint a minimum of one person as GHG emissions reduction champion in each facility to lead the communication and outreach program</w:t>
      </w:r>
      <w:r w:rsidR="00C24792" w:rsidRPr="002C0F0D">
        <w:rPr>
          <w:rFonts w:ascii="Garamond" w:hAnsi="Garamond"/>
          <w:sz w:val="24"/>
          <w:szCs w:val="28"/>
          <w:lang w:val="en-US"/>
        </w:rPr>
        <w:t>me</w:t>
      </w:r>
      <w:r w:rsidRPr="002C0F0D">
        <w:rPr>
          <w:rFonts w:ascii="Garamond" w:hAnsi="Garamond"/>
          <w:sz w:val="24"/>
          <w:szCs w:val="28"/>
          <w:lang w:val="en-US"/>
        </w:rPr>
        <w:t xml:space="preserve"> on this topic. Through education, providing consistent information and awareness could lead to long-term understanding of GHG-related issues for an organization.</w:t>
      </w:r>
    </w:p>
    <w:p w14:paraId="7ECFD4E1" w14:textId="21B8F444" w:rsidR="00533278" w:rsidRPr="002C0F0D" w:rsidRDefault="005A7638" w:rsidP="002C0F0D">
      <w:pPr>
        <w:spacing w:after="240"/>
        <w:rPr>
          <w:rFonts w:ascii="Garamond" w:hAnsi="Garamond"/>
          <w:sz w:val="24"/>
          <w:szCs w:val="28"/>
          <w:u w:val="single"/>
          <w:lang w:val="en-US"/>
        </w:rPr>
      </w:pPr>
      <w:r w:rsidRPr="002C0F0D">
        <w:rPr>
          <w:rFonts w:ascii="Garamond" w:hAnsi="Garamond"/>
          <w:sz w:val="24"/>
          <w:szCs w:val="28"/>
          <w:u w:val="single"/>
          <w:lang w:val="en-US"/>
        </w:rPr>
        <w:t>Behavioural change</w:t>
      </w:r>
    </w:p>
    <w:p w14:paraId="0626A83D" w14:textId="77777777" w:rsidR="00533278" w:rsidRPr="002C0F0D" w:rsidRDefault="00533278" w:rsidP="002C0F0D">
      <w:pPr>
        <w:spacing w:after="240"/>
        <w:rPr>
          <w:rFonts w:ascii="Garamond" w:hAnsi="Garamond"/>
          <w:sz w:val="24"/>
          <w:szCs w:val="28"/>
          <w:lang w:val="en-US"/>
        </w:rPr>
      </w:pPr>
      <w:r w:rsidRPr="002C0F0D">
        <w:rPr>
          <w:rFonts w:ascii="Garamond" w:hAnsi="Garamond"/>
          <w:sz w:val="24"/>
          <w:szCs w:val="28"/>
          <w:lang w:val="en-US"/>
        </w:rPr>
        <w:t xml:space="preserve">An employees’ motivational programme must be implemented to drive behavioural change. Mental barriers such as “someone else will save the planet” and “my contribution is just too small to count” etc., all need to be openly discussed.  </w:t>
      </w:r>
    </w:p>
    <w:p w14:paraId="1410E03D" w14:textId="27BD69B7" w:rsidR="00533278" w:rsidRPr="002C0F0D" w:rsidRDefault="005A7638" w:rsidP="002C0F0D">
      <w:pPr>
        <w:spacing w:after="240"/>
        <w:rPr>
          <w:rFonts w:ascii="Garamond" w:hAnsi="Garamond"/>
          <w:sz w:val="24"/>
          <w:szCs w:val="28"/>
          <w:u w:val="single"/>
          <w:lang w:val="en-US"/>
        </w:rPr>
      </w:pPr>
      <w:r w:rsidRPr="002C0F0D">
        <w:rPr>
          <w:rFonts w:ascii="Garamond" w:hAnsi="Garamond"/>
          <w:sz w:val="24"/>
          <w:szCs w:val="28"/>
          <w:u w:val="single"/>
          <w:lang w:val="en-US"/>
        </w:rPr>
        <w:t>Health benefits</w:t>
      </w:r>
    </w:p>
    <w:p w14:paraId="667740DA" w14:textId="77777777" w:rsidR="00533278" w:rsidRPr="002C0F0D" w:rsidRDefault="00533278" w:rsidP="002C0F0D">
      <w:pPr>
        <w:spacing w:after="240"/>
        <w:rPr>
          <w:rFonts w:ascii="Garamond" w:hAnsi="Garamond"/>
          <w:sz w:val="24"/>
          <w:szCs w:val="28"/>
          <w:lang w:val="en-US"/>
        </w:rPr>
      </w:pPr>
      <w:r w:rsidRPr="002C0F0D">
        <w:rPr>
          <w:rFonts w:ascii="Garamond" w:hAnsi="Garamond"/>
          <w:sz w:val="24"/>
          <w:szCs w:val="28"/>
          <w:lang w:val="en-US"/>
        </w:rPr>
        <w:t xml:space="preserve">Many energy efficiency implementations also yield better environmental quality that improves occupants’ health. Access to daylight improves productivity during the daytime, whilst access to adequate outdoor clean and fresh air improves oxygen levels and daytime alertness. </w:t>
      </w:r>
    </w:p>
    <w:p w14:paraId="07FFC9FC" w14:textId="5391CF04" w:rsidR="00533278" w:rsidRPr="002C0F0D" w:rsidRDefault="00533278" w:rsidP="002C0F0D">
      <w:pPr>
        <w:spacing w:after="240"/>
        <w:rPr>
          <w:rFonts w:ascii="Garamond" w:hAnsi="Garamond"/>
          <w:sz w:val="24"/>
          <w:szCs w:val="28"/>
          <w:u w:val="single"/>
          <w:lang w:val="en-US"/>
        </w:rPr>
      </w:pPr>
      <w:r w:rsidRPr="002C0F0D">
        <w:rPr>
          <w:rFonts w:ascii="Garamond" w:hAnsi="Garamond"/>
          <w:sz w:val="24"/>
          <w:szCs w:val="28"/>
          <w:u w:val="single"/>
          <w:lang w:val="en-US"/>
        </w:rPr>
        <w:t>Technical information</w:t>
      </w:r>
      <w:r w:rsidR="005A7638" w:rsidRPr="002C0F0D">
        <w:rPr>
          <w:rFonts w:ascii="Garamond" w:hAnsi="Garamond"/>
          <w:sz w:val="24"/>
          <w:szCs w:val="28"/>
          <w:u w:val="single"/>
          <w:lang w:val="en-US"/>
        </w:rPr>
        <w:t xml:space="preserve">, </w:t>
      </w:r>
      <w:r w:rsidRPr="002C0F0D">
        <w:rPr>
          <w:rFonts w:ascii="Garamond" w:hAnsi="Garamond"/>
          <w:sz w:val="24"/>
          <w:szCs w:val="28"/>
          <w:u w:val="single"/>
          <w:lang w:val="en-US"/>
        </w:rPr>
        <w:t>awareness</w:t>
      </w:r>
      <w:r w:rsidR="005A7638" w:rsidRPr="002C0F0D">
        <w:rPr>
          <w:rFonts w:ascii="Garamond" w:hAnsi="Garamond"/>
          <w:sz w:val="24"/>
          <w:szCs w:val="28"/>
          <w:u w:val="single"/>
          <w:lang w:val="en-US"/>
        </w:rPr>
        <w:t xml:space="preserve"> and funding</w:t>
      </w:r>
    </w:p>
    <w:p w14:paraId="3ABE4FB5" w14:textId="46E4B5D3" w:rsidR="00B82586" w:rsidRPr="002C0F0D" w:rsidRDefault="00533278" w:rsidP="002C0F0D">
      <w:pPr>
        <w:rPr>
          <w:rFonts w:ascii="Garamond" w:hAnsi="Garamond"/>
          <w:sz w:val="24"/>
          <w:szCs w:val="28"/>
          <w:lang w:val="en-US"/>
        </w:rPr>
      </w:pPr>
      <w:r w:rsidRPr="002C0F0D">
        <w:rPr>
          <w:rFonts w:ascii="Garamond" w:hAnsi="Garamond"/>
          <w:sz w:val="24"/>
          <w:szCs w:val="28"/>
          <w:lang w:val="en-US"/>
        </w:rPr>
        <w:t>Awareness programmes on energy efficiency issues such as phantom load, the selection of efficient lighting, the selection of heating and cooling equipment etc., is valued by employees because it will help to reduce energy costs at home as well as in the office. Information on funding mechanisms should be disseminated to the relevant parties to allow departments to implement GHG emissions projects on their own, where possible</w:t>
      </w:r>
    </w:p>
    <w:sectPr w:rsidR="00B82586" w:rsidRPr="002C0F0D" w:rsidSect="00DA67B1">
      <w:pgSz w:w="11907" w:h="16839" w:code="9"/>
      <w:pgMar w:top="720" w:right="720" w:bottom="720" w:left="72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6DD9F3" w16cid:durableId="1EB15F50"/>
  <w16cid:commentId w16cid:paraId="27C38343" w16cid:durableId="1EB16109"/>
  <w16cid:commentId w16cid:paraId="6B613F80" w16cid:durableId="1EB161A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1C44B1" w14:textId="77777777" w:rsidR="00B52638" w:rsidRDefault="00B52638" w:rsidP="00DA67B1">
      <w:pPr>
        <w:spacing w:after="0" w:line="240" w:lineRule="auto"/>
      </w:pPr>
      <w:r>
        <w:separator/>
      </w:r>
    </w:p>
  </w:endnote>
  <w:endnote w:type="continuationSeparator" w:id="0">
    <w:p w14:paraId="202B929D" w14:textId="77777777" w:rsidR="00B52638" w:rsidRDefault="00B52638" w:rsidP="00DA6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Roboto-Regular">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9B7CA0" w14:textId="77777777" w:rsidR="00B52638" w:rsidRDefault="00B52638" w:rsidP="00DA67B1">
      <w:pPr>
        <w:spacing w:after="0" w:line="240" w:lineRule="auto"/>
      </w:pPr>
      <w:r>
        <w:separator/>
      </w:r>
    </w:p>
  </w:footnote>
  <w:footnote w:type="continuationSeparator" w:id="0">
    <w:p w14:paraId="0578AAF5" w14:textId="77777777" w:rsidR="00B52638" w:rsidRDefault="00B52638" w:rsidP="00DA67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324F7"/>
    <w:multiLevelType w:val="hybridMultilevel"/>
    <w:tmpl w:val="905CA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54517"/>
    <w:multiLevelType w:val="hybridMultilevel"/>
    <w:tmpl w:val="1F8214B8"/>
    <w:lvl w:ilvl="0" w:tplc="0409000F">
      <w:start w:val="1"/>
      <w:numFmt w:val="decimal"/>
      <w:lvlText w:val="%1."/>
      <w:lvlJc w:val="left"/>
      <w:pPr>
        <w:ind w:left="1068" w:hanging="360"/>
      </w:pPr>
      <w:rPr>
        <w:rFonts w:hint="default"/>
      </w:rPr>
    </w:lvl>
    <w:lvl w:ilvl="1" w:tplc="04090001">
      <w:start w:val="1"/>
      <w:numFmt w:val="bullet"/>
      <w:lvlText w:val=""/>
      <w:lvlJc w:val="left"/>
      <w:pPr>
        <w:ind w:left="1788" w:hanging="360"/>
      </w:pPr>
      <w:rPr>
        <w:rFonts w:ascii="Symbol" w:hAnsi="Symbol" w:hint="default"/>
      </w:rPr>
    </w:lvl>
    <w:lvl w:ilvl="2" w:tplc="AEC43234">
      <w:start w:val="4"/>
      <w:numFmt w:val="bullet"/>
      <w:lvlText w:val="•"/>
      <w:lvlJc w:val="left"/>
      <w:pPr>
        <w:ind w:left="3033" w:hanging="705"/>
      </w:pPr>
      <w:rPr>
        <w:rFonts w:ascii="Calibri" w:eastAsia="Times New Roman" w:hAnsi="Calibri" w:cs="Calibri" w:hint="default"/>
      </w:rPr>
    </w:lvl>
    <w:lvl w:ilvl="3" w:tplc="AEB85D90">
      <w:start w:val="1"/>
      <w:numFmt w:val="decimal"/>
      <w:lvlText w:val="%4."/>
      <w:lvlJc w:val="left"/>
      <w:pPr>
        <w:ind w:left="3573" w:hanging="705"/>
      </w:pPr>
      <w:rPr>
        <w:rFonts w:hint="default"/>
      </w:r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15:restartNumberingAfterBreak="0">
    <w:nsid w:val="14023F8D"/>
    <w:multiLevelType w:val="hybridMultilevel"/>
    <w:tmpl w:val="9D9E2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041189"/>
    <w:multiLevelType w:val="hybridMultilevel"/>
    <w:tmpl w:val="1F8214B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AEC43234">
      <w:start w:val="4"/>
      <w:numFmt w:val="bullet"/>
      <w:lvlText w:val="•"/>
      <w:lvlJc w:val="left"/>
      <w:pPr>
        <w:ind w:left="2685" w:hanging="705"/>
      </w:pPr>
      <w:rPr>
        <w:rFonts w:ascii="Calibri" w:eastAsia="Times New Roman" w:hAnsi="Calibri" w:cs="Calibri" w:hint="default"/>
      </w:rPr>
    </w:lvl>
    <w:lvl w:ilvl="3" w:tplc="AEB85D90">
      <w:start w:val="1"/>
      <w:numFmt w:val="decimal"/>
      <w:lvlText w:val="%4."/>
      <w:lvlJc w:val="left"/>
      <w:pPr>
        <w:ind w:left="3225" w:hanging="705"/>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842158"/>
    <w:multiLevelType w:val="hybridMultilevel"/>
    <w:tmpl w:val="01EE5728"/>
    <w:lvl w:ilvl="0" w:tplc="E7DC80A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097494"/>
    <w:multiLevelType w:val="hybridMultilevel"/>
    <w:tmpl w:val="1F8214B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AEC43234">
      <w:start w:val="4"/>
      <w:numFmt w:val="bullet"/>
      <w:lvlText w:val="•"/>
      <w:lvlJc w:val="left"/>
      <w:pPr>
        <w:ind w:left="2685" w:hanging="705"/>
      </w:pPr>
      <w:rPr>
        <w:rFonts w:ascii="Calibri" w:eastAsia="Times New Roman" w:hAnsi="Calibri" w:cs="Calibri" w:hint="default"/>
      </w:rPr>
    </w:lvl>
    <w:lvl w:ilvl="3" w:tplc="AEB85D90">
      <w:start w:val="1"/>
      <w:numFmt w:val="decimal"/>
      <w:lvlText w:val="%4."/>
      <w:lvlJc w:val="left"/>
      <w:pPr>
        <w:ind w:left="3225" w:hanging="705"/>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662396"/>
    <w:multiLevelType w:val="hybridMultilevel"/>
    <w:tmpl w:val="904AD80A"/>
    <w:lvl w:ilvl="0" w:tplc="CD9EB2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201730"/>
    <w:multiLevelType w:val="hybridMultilevel"/>
    <w:tmpl w:val="75F6E8F8"/>
    <w:lvl w:ilvl="0" w:tplc="04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15:restartNumberingAfterBreak="0">
    <w:nsid w:val="3E337963"/>
    <w:multiLevelType w:val="hybridMultilevel"/>
    <w:tmpl w:val="87762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367F10"/>
    <w:multiLevelType w:val="hybridMultilevel"/>
    <w:tmpl w:val="6DC48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B97641"/>
    <w:multiLevelType w:val="multilevel"/>
    <w:tmpl w:val="F21EE8D8"/>
    <w:lvl w:ilvl="0">
      <w:start w:val="1"/>
      <w:numFmt w:val="bullet"/>
      <w:lvlText w:val=""/>
      <w:lvlJc w:val="left"/>
      <w:pPr>
        <w:ind w:left="1788" w:hanging="360"/>
      </w:pPr>
      <w:rPr>
        <w:rFonts w:ascii="Symbol" w:hAnsi="Symbol" w:hint="default"/>
      </w:rPr>
    </w:lvl>
    <w:lvl w:ilvl="1">
      <w:start w:val="1"/>
      <w:numFmt w:val="decimal"/>
      <w:isLgl/>
      <w:lvlText w:val="%1.%2"/>
      <w:lvlJc w:val="left"/>
      <w:pPr>
        <w:ind w:left="2496" w:hanging="360"/>
      </w:pPr>
      <w:rPr>
        <w:rFonts w:hint="default"/>
        <w:b w:val="0"/>
      </w:rPr>
    </w:lvl>
    <w:lvl w:ilvl="2">
      <w:start w:val="1"/>
      <w:numFmt w:val="decimal"/>
      <w:isLgl/>
      <w:lvlText w:val="%1.%2.%3"/>
      <w:lvlJc w:val="left"/>
      <w:pPr>
        <w:ind w:left="3564" w:hanging="720"/>
      </w:pPr>
      <w:rPr>
        <w:rFonts w:hint="default"/>
        <w:b w:val="0"/>
      </w:rPr>
    </w:lvl>
    <w:lvl w:ilvl="3">
      <w:start w:val="1"/>
      <w:numFmt w:val="decimal"/>
      <w:isLgl/>
      <w:lvlText w:val="%1.%2.%3.%4"/>
      <w:lvlJc w:val="left"/>
      <w:pPr>
        <w:ind w:left="4272" w:hanging="720"/>
      </w:pPr>
      <w:rPr>
        <w:rFonts w:hint="default"/>
        <w:b w:val="0"/>
      </w:rPr>
    </w:lvl>
    <w:lvl w:ilvl="4">
      <w:start w:val="1"/>
      <w:numFmt w:val="decimal"/>
      <w:isLgl/>
      <w:lvlText w:val="%1.%2.%3.%4.%5"/>
      <w:lvlJc w:val="left"/>
      <w:pPr>
        <w:ind w:left="5340" w:hanging="1080"/>
      </w:pPr>
      <w:rPr>
        <w:rFonts w:hint="default"/>
        <w:b w:val="0"/>
      </w:rPr>
    </w:lvl>
    <w:lvl w:ilvl="5">
      <w:start w:val="1"/>
      <w:numFmt w:val="decimal"/>
      <w:isLgl/>
      <w:lvlText w:val="%1.%2.%3.%4.%5.%6"/>
      <w:lvlJc w:val="left"/>
      <w:pPr>
        <w:ind w:left="6048" w:hanging="1080"/>
      </w:pPr>
      <w:rPr>
        <w:rFonts w:hint="default"/>
        <w:b w:val="0"/>
      </w:rPr>
    </w:lvl>
    <w:lvl w:ilvl="6">
      <w:start w:val="1"/>
      <w:numFmt w:val="decimal"/>
      <w:isLgl/>
      <w:lvlText w:val="%1.%2.%3.%4.%5.%6.%7"/>
      <w:lvlJc w:val="left"/>
      <w:pPr>
        <w:ind w:left="7116" w:hanging="1440"/>
      </w:pPr>
      <w:rPr>
        <w:rFonts w:hint="default"/>
        <w:b w:val="0"/>
      </w:rPr>
    </w:lvl>
    <w:lvl w:ilvl="7">
      <w:start w:val="1"/>
      <w:numFmt w:val="decimal"/>
      <w:isLgl/>
      <w:lvlText w:val="%1.%2.%3.%4.%5.%6.%7.%8"/>
      <w:lvlJc w:val="left"/>
      <w:pPr>
        <w:ind w:left="7824" w:hanging="1440"/>
      </w:pPr>
      <w:rPr>
        <w:rFonts w:hint="default"/>
        <w:b w:val="0"/>
      </w:rPr>
    </w:lvl>
    <w:lvl w:ilvl="8">
      <w:start w:val="1"/>
      <w:numFmt w:val="decimal"/>
      <w:isLgl/>
      <w:lvlText w:val="%1.%2.%3.%4.%5.%6.%7.%8.%9"/>
      <w:lvlJc w:val="left"/>
      <w:pPr>
        <w:ind w:left="8892" w:hanging="1800"/>
      </w:pPr>
      <w:rPr>
        <w:rFonts w:hint="default"/>
        <w:b w:val="0"/>
      </w:rPr>
    </w:lvl>
  </w:abstractNum>
  <w:abstractNum w:abstractNumId="11" w15:restartNumberingAfterBreak="0">
    <w:nsid w:val="67BE2C5F"/>
    <w:multiLevelType w:val="hybridMultilevel"/>
    <w:tmpl w:val="D0141F8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057843"/>
    <w:multiLevelType w:val="hybridMultilevel"/>
    <w:tmpl w:val="558E9374"/>
    <w:lvl w:ilvl="0" w:tplc="6DB8855A">
      <w:numFmt w:val="bullet"/>
      <w:lvlText w:val="-"/>
      <w:lvlJc w:val="left"/>
      <w:pPr>
        <w:ind w:left="720" w:hanging="360"/>
      </w:pPr>
      <w:rPr>
        <w:rFonts w:ascii="Cambria" w:eastAsia="Calibri"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94390D"/>
    <w:multiLevelType w:val="hybridMultilevel"/>
    <w:tmpl w:val="BB16D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4"/>
  </w:num>
  <w:num w:numId="5">
    <w:abstractNumId w:val="7"/>
  </w:num>
  <w:num w:numId="6">
    <w:abstractNumId w:val="5"/>
  </w:num>
  <w:num w:numId="7">
    <w:abstractNumId w:val="2"/>
  </w:num>
  <w:num w:numId="8">
    <w:abstractNumId w:val="11"/>
  </w:num>
  <w:num w:numId="9">
    <w:abstractNumId w:val="0"/>
  </w:num>
  <w:num w:numId="10">
    <w:abstractNumId w:val="1"/>
  </w:num>
  <w:num w:numId="11">
    <w:abstractNumId w:val="12"/>
  </w:num>
  <w:num w:numId="12">
    <w:abstractNumId w:val="9"/>
  </w:num>
  <w:num w:numId="13">
    <w:abstractNumId w:val="6"/>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933"/>
    <w:rsid w:val="00014ADA"/>
    <w:rsid w:val="00025E4C"/>
    <w:rsid w:val="000376B6"/>
    <w:rsid w:val="00042AB3"/>
    <w:rsid w:val="00055EBB"/>
    <w:rsid w:val="0007254D"/>
    <w:rsid w:val="0008658A"/>
    <w:rsid w:val="000A5989"/>
    <w:rsid w:val="000E5C5E"/>
    <w:rsid w:val="000F3387"/>
    <w:rsid w:val="000F5186"/>
    <w:rsid w:val="0011510E"/>
    <w:rsid w:val="00115DB5"/>
    <w:rsid w:val="00115F57"/>
    <w:rsid w:val="00117E7E"/>
    <w:rsid w:val="0012057C"/>
    <w:rsid w:val="00121F0F"/>
    <w:rsid w:val="00130A5C"/>
    <w:rsid w:val="0014108A"/>
    <w:rsid w:val="0018710E"/>
    <w:rsid w:val="00194D35"/>
    <w:rsid w:val="001A0639"/>
    <w:rsid w:val="001A66B3"/>
    <w:rsid w:val="001B0E0A"/>
    <w:rsid w:val="001D07FE"/>
    <w:rsid w:val="001D67DE"/>
    <w:rsid w:val="001E5DA2"/>
    <w:rsid w:val="00205D44"/>
    <w:rsid w:val="00215784"/>
    <w:rsid w:val="002422E2"/>
    <w:rsid w:val="00251E0B"/>
    <w:rsid w:val="00261A47"/>
    <w:rsid w:val="00262A37"/>
    <w:rsid w:val="00262C57"/>
    <w:rsid w:val="00267F62"/>
    <w:rsid w:val="00274D19"/>
    <w:rsid w:val="00280B00"/>
    <w:rsid w:val="00286BE1"/>
    <w:rsid w:val="00293BE1"/>
    <w:rsid w:val="00294F6C"/>
    <w:rsid w:val="002A0F0B"/>
    <w:rsid w:val="002A19C2"/>
    <w:rsid w:val="002C0308"/>
    <w:rsid w:val="002C032F"/>
    <w:rsid w:val="002C0F0D"/>
    <w:rsid w:val="002D1079"/>
    <w:rsid w:val="002E0FC5"/>
    <w:rsid w:val="002E1066"/>
    <w:rsid w:val="002F4632"/>
    <w:rsid w:val="00304568"/>
    <w:rsid w:val="00307FC6"/>
    <w:rsid w:val="00330FDA"/>
    <w:rsid w:val="00331A3C"/>
    <w:rsid w:val="00335235"/>
    <w:rsid w:val="003370EB"/>
    <w:rsid w:val="00342449"/>
    <w:rsid w:val="003461E4"/>
    <w:rsid w:val="00353A21"/>
    <w:rsid w:val="00360529"/>
    <w:rsid w:val="00367038"/>
    <w:rsid w:val="00382BA9"/>
    <w:rsid w:val="00395CE4"/>
    <w:rsid w:val="00397D75"/>
    <w:rsid w:val="003A6A56"/>
    <w:rsid w:val="003B06FB"/>
    <w:rsid w:val="003C727D"/>
    <w:rsid w:val="003D0577"/>
    <w:rsid w:val="003D4B76"/>
    <w:rsid w:val="003D5504"/>
    <w:rsid w:val="00422714"/>
    <w:rsid w:val="004240DD"/>
    <w:rsid w:val="004245FD"/>
    <w:rsid w:val="00425F5D"/>
    <w:rsid w:val="004524A2"/>
    <w:rsid w:val="00452F77"/>
    <w:rsid w:val="00456839"/>
    <w:rsid w:val="00456AD3"/>
    <w:rsid w:val="00460FB8"/>
    <w:rsid w:val="004744AF"/>
    <w:rsid w:val="004825E1"/>
    <w:rsid w:val="004D5B6D"/>
    <w:rsid w:val="004D7BD8"/>
    <w:rsid w:val="004F1015"/>
    <w:rsid w:val="005239F9"/>
    <w:rsid w:val="00533278"/>
    <w:rsid w:val="00560406"/>
    <w:rsid w:val="00563A27"/>
    <w:rsid w:val="00571F86"/>
    <w:rsid w:val="005955B1"/>
    <w:rsid w:val="005A04AD"/>
    <w:rsid w:val="005A7638"/>
    <w:rsid w:val="005F6A7E"/>
    <w:rsid w:val="00603C5C"/>
    <w:rsid w:val="0060650E"/>
    <w:rsid w:val="00610A92"/>
    <w:rsid w:val="00610BD0"/>
    <w:rsid w:val="00641BC9"/>
    <w:rsid w:val="00642107"/>
    <w:rsid w:val="006520E9"/>
    <w:rsid w:val="006664F4"/>
    <w:rsid w:val="00667411"/>
    <w:rsid w:val="006703D5"/>
    <w:rsid w:val="0069768A"/>
    <w:rsid w:val="006A38A7"/>
    <w:rsid w:val="006B51C2"/>
    <w:rsid w:val="006E55D9"/>
    <w:rsid w:val="006E5FAE"/>
    <w:rsid w:val="0071001D"/>
    <w:rsid w:val="007230D9"/>
    <w:rsid w:val="007521F2"/>
    <w:rsid w:val="0077262B"/>
    <w:rsid w:val="00772A08"/>
    <w:rsid w:val="00782A39"/>
    <w:rsid w:val="00785366"/>
    <w:rsid w:val="007976ED"/>
    <w:rsid w:val="007D7144"/>
    <w:rsid w:val="007E0EF2"/>
    <w:rsid w:val="007E2021"/>
    <w:rsid w:val="007E6B21"/>
    <w:rsid w:val="007F2D24"/>
    <w:rsid w:val="00804EE9"/>
    <w:rsid w:val="00835403"/>
    <w:rsid w:val="00840B48"/>
    <w:rsid w:val="0084207F"/>
    <w:rsid w:val="008773FD"/>
    <w:rsid w:val="008779E5"/>
    <w:rsid w:val="00894497"/>
    <w:rsid w:val="00895889"/>
    <w:rsid w:val="008A6C87"/>
    <w:rsid w:val="008C0CF0"/>
    <w:rsid w:val="008C75A6"/>
    <w:rsid w:val="008D2CC0"/>
    <w:rsid w:val="008D5E55"/>
    <w:rsid w:val="008E42F4"/>
    <w:rsid w:val="008E5D19"/>
    <w:rsid w:val="008E6845"/>
    <w:rsid w:val="008F1C6A"/>
    <w:rsid w:val="008F4757"/>
    <w:rsid w:val="00900D79"/>
    <w:rsid w:val="00936930"/>
    <w:rsid w:val="00944842"/>
    <w:rsid w:val="00945532"/>
    <w:rsid w:val="00946688"/>
    <w:rsid w:val="00966285"/>
    <w:rsid w:val="00974832"/>
    <w:rsid w:val="009776FC"/>
    <w:rsid w:val="00977933"/>
    <w:rsid w:val="00980EAD"/>
    <w:rsid w:val="009A1B5B"/>
    <w:rsid w:val="009A534A"/>
    <w:rsid w:val="009B29FB"/>
    <w:rsid w:val="009B5DEA"/>
    <w:rsid w:val="009C1C8F"/>
    <w:rsid w:val="009C3796"/>
    <w:rsid w:val="009E21C9"/>
    <w:rsid w:val="009E3A16"/>
    <w:rsid w:val="00A26F83"/>
    <w:rsid w:val="00A34BDD"/>
    <w:rsid w:val="00A35BC8"/>
    <w:rsid w:val="00A429E8"/>
    <w:rsid w:val="00A5051C"/>
    <w:rsid w:val="00A5360D"/>
    <w:rsid w:val="00A60D32"/>
    <w:rsid w:val="00A71F8C"/>
    <w:rsid w:val="00A95AE0"/>
    <w:rsid w:val="00A96066"/>
    <w:rsid w:val="00AA2C9F"/>
    <w:rsid w:val="00AB2507"/>
    <w:rsid w:val="00AC5415"/>
    <w:rsid w:val="00AC5CE5"/>
    <w:rsid w:val="00AF1953"/>
    <w:rsid w:val="00AF7C82"/>
    <w:rsid w:val="00B051E4"/>
    <w:rsid w:val="00B32AEE"/>
    <w:rsid w:val="00B375B5"/>
    <w:rsid w:val="00B37D3E"/>
    <w:rsid w:val="00B46CFE"/>
    <w:rsid w:val="00B50CC7"/>
    <w:rsid w:val="00B52638"/>
    <w:rsid w:val="00B821C6"/>
    <w:rsid w:val="00B82586"/>
    <w:rsid w:val="00B9335E"/>
    <w:rsid w:val="00BC01CB"/>
    <w:rsid w:val="00BD1EC9"/>
    <w:rsid w:val="00BE247A"/>
    <w:rsid w:val="00C01758"/>
    <w:rsid w:val="00C1050F"/>
    <w:rsid w:val="00C12499"/>
    <w:rsid w:val="00C175A3"/>
    <w:rsid w:val="00C24792"/>
    <w:rsid w:val="00C40BF8"/>
    <w:rsid w:val="00C4300A"/>
    <w:rsid w:val="00C47F4E"/>
    <w:rsid w:val="00C573FF"/>
    <w:rsid w:val="00CD1886"/>
    <w:rsid w:val="00CE17C2"/>
    <w:rsid w:val="00CE1D11"/>
    <w:rsid w:val="00CF2769"/>
    <w:rsid w:val="00D52B93"/>
    <w:rsid w:val="00D56665"/>
    <w:rsid w:val="00D96545"/>
    <w:rsid w:val="00DA5D28"/>
    <w:rsid w:val="00DA67B1"/>
    <w:rsid w:val="00DC017A"/>
    <w:rsid w:val="00DC3D16"/>
    <w:rsid w:val="00DD2CE6"/>
    <w:rsid w:val="00DD4BB7"/>
    <w:rsid w:val="00DF7B9D"/>
    <w:rsid w:val="00E3003E"/>
    <w:rsid w:val="00E338E6"/>
    <w:rsid w:val="00E629FB"/>
    <w:rsid w:val="00E75E38"/>
    <w:rsid w:val="00E90739"/>
    <w:rsid w:val="00EA7DF1"/>
    <w:rsid w:val="00ED4E57"/>
    <w:rsid w:val="00ED5D75"/>
    <w:rsid w:val="00EE5CA7"/>
    <w:rsid w:val="00EF2EB8"/>
    <w:rsid w:val="00EF54E9"/>
    <w:rsid w:val="00F040B6"/>
    <w:rsid w:val="00F05162"/>
    <w:rsid w:val="00F32840"/>
    <w:rsid w:val="00F336B9"/>
    <w:rsid w:val="00F50A0A"/>
    <w:rsid w:val="00F526EB"/>
    <w:rsid w:val="00F55B81"/>
    <w:rsid w:val="00F6102E"/>
    <w:rsid w:val="00F65411"/>
    <w:rsid w:val="00F65D9E"/>
    <w:rsid w:val="00F734BF"/>
    <w:rsid w:val="00FB073B"/>
    <w:rsid w:val="00FB3336"/>
    <w:rsid w:val="00FC2916"/>
    <w:rsid w:val="00FD26CF"/>
    <w:rsid w:val="00FD7068"/>
    <w:rsid w:val="00FE650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720C37"/>
  <w15:chartTrackingRefBased/>
  <w15:docId w15:val="{79F969ED-5605-4D7B-9DFA-C74A6F8A7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A67B1"/>
    <w:pPr>
      <w:jc w:val="both"/>
    </w:pPr>
    <w:rPr>
      <w:rFonts w:ascii="Calibri" w:eastAsia="Calibri" w:hAnsi="Calibri" w:cs="Calibri"/>
      <w:color w:val="000000"/>
      <w:szCs w:val="24"/>
      <w:lang w:val="fr-FR" w:eastAsia="fr-FR"/>
    </w:rPr>
  </w:style>
  <w:style w:type="paragraph" w:styleId="Heading1">
    <w:name w:val="heading 1"/>
    <w:basedOn w:val="Normal"/>
    <w:next w:val="Normal"/>
    <w:link w:val="Heading1Char"/>
    <w:uiPriority w:val="9"/>
    <w:qFormat/>
    <w:rsid w:val="00DA67B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41BC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3003E"/>
    <w:pPr>
      <w:keepNext/>
      <w:keepLines/>
      <w:spacing w:before="40" w:after="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67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67B1"/>
  </w:style>
  <w:style w:type="paragraph" w:styleId="Footer">
    <w:name w:val="footer"/>
    <w:basedOn w:val="Normal"/>
    <w:link w:val="FooterChar"/>
    <w:uiPriority w:val="99"/>
    <w:unhideWhenUsed/>
    <w:rsid w:val="00DA67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7B1"/>
  </w:style>
  <w:style w:type="character" w:customStyle="1" w:styleId="Heading1Char">
    <w:name w:val="Heading 1 Char"/>
    <w:basedOn w:val="DefaultParagraphFont"/>
    <w:link w:val="Heading1"/>
    <w:uiPriority w:val="9"/>
    <w:rsid w:val="00DA67B1"/>
    <w:rPr>
      <w:rFonts w:asciiTheme="majorHAnsi" w:eastAsiaTheme="majorEastAsia" w:hAnsiTheme="majorHAnsi" w:cstheme="majorBidi"/>
      <w:b/>
      <w:bCs/>
      <w:color w:val="365F91" w:themeColor="accent1" w:themeShade="BF"/>
      <w:sz w:val="28"/>
      <w:szCs w:val="28"/>
      <w:lang w:val="fr-FR" w:eastAsia="fr-FR"/>
    </w:rPr>
  </w:style>
  <w:style w:type="character" w:customStyle="1" w:styleId="Heading2Char">
    <w:name w:val="Heading 2 Char"/>
    <w:basedOn w:val="DefaultParagraphFont"/>
    <w:link w:val="Heading2"/>
    <w:uiPriority w:val="9"/>
    <w:rsid w:val="00641BC9"/>
    <w:rPr>
      <w:rFonts w:asciiTheme="majorHAnsi" w:eastAsiaTheme="majorEastAsia" w:hAnsiTheme="majorHAnsi" w:cstheme="majorBidi"/>
      <w:color w:val="365F91" w:themeColor="accent1" w:themeShade="BF"/>
      <w:sz w:val="26"/>
      <w:szCs w:val="26"/>
      <w:lang w:val="fr-FR" w:eastAsia="fr-FR"/>
    </w:rPr>
  </w:style>
  <w:style w:type="character" w:styleId="Hyperlink">
    <w:name w:val="Hyperlink"/>
    <w:uiPriority w:val="99"/>
    <w:rsid w:val="00641BC9"/>
    <w:rPr>
      <w:rFonts w:cs="Times New Roman"/>
      <w:color w:val="0000FF"/>
      <w:u w:val="single"/>
    </w:rPr>
  </w:style>
  <w:style w:type="paragraph" w:styleId="ListParagraph">
    <w:name w:val="List Paragraph"/>
    <w:basedOn w:val="Normal"/>
    <w:uiPriority w:val="34"/>
    <w:qFormat/>
    <w:rsid w:val="00BE247A"/>
    <w:pPr>
      <w:ind w:left="720"/>
      <w:contextualSpacing/>
    </w:pPr>
    <w:rPr>
      <w:rFonts w:cs="Times New Roman"/>
      <w:color w:val="auto"/>
      <w:szCs w:val="22"/>
      <w:lang w:val="en-GB" w:eastAsia="en-US"/>
    </w:rPr>
  </w:style>
  <w:style w:type="paragraph" w:styleId="FootnoteText">
    <w:name w:val="footnote text"/>
    <w:basedOn w:val="Normal"/>
    <w:link w:val="FootnoteTextChar"/>
    <w:uiPriority w:val="99"/>
    <w:rsid w:val="00307FC6"/>
    <w:pPr>
      <w:spacing w:after="120" w:line="360" w:lineRule="auto"/>
      <w:jc w:val="left"/>
    </w:pPr>
    <w:rPr>
      <w:rFonts w:ascii="Times New Roman" w:hAnsi="Times New Roman" w:cs="Times New Roman"/>
      <w:color w:val="auto"/>
      <w:sz w:val="20"/>
      <w:szCs w:val="20"/>
      <w:lang w:val="en-US" w:eastAsia="en-US"/>
    </w:rPr>
  </w:style>
  <w:style w:type="character" w:customStyle="1" w:styleId="FootnoteTextChar">
    <w:name w:val="Footnote Text Char"/>
    <w:basedOn w:val="DefaultParagraphFont"/>
    <w:link w:val="FootnoteText"/>
    <w:uiPriority w:val="99"/>
    <w:rsid w:val="00307FC6"/>
    <w:rPr>
      <w:rFonts w:ascii="Times New Roman" w:eastAsia="Calibri" w:hAnsi="Times New Roman" w:cs="Times New Roman"/>
      <w:sz w:val="20"/>
      <w:szCs w:val="20"/>
      <w:lang w:eastAsia="en-US"/>
    </w:rPr>
  </w:style>
  <w:style w:type="character" w:styleId="FootnoteReference">
    <w:name w:val="footnote reference"/>
    <w:uiPriority w:val="99"/>
    <w:rsid w:val="00307FC6"/>
    <w:rPr>
      <w:rFonts w:cs="Times New Roman"/>
      <w:vertAlign w:val="superscript"/>
    </w:rPr>
  </w:style>
  <w:style w:type="character" w:customStyle="1" w:styleId="Heading3Char">
    <w:name w:val="Heading 3 Char"/>
    <w:basedOn w:val="DefaultParagraphFont"/>
    <w:link w:val="Heading3"/>
    <w:uiPriority w:val="9"/>
    <w:semiHidden/>
    <w:rsid w:val="00E3003E"/>
    <w:rPr>
      <w:rFonts w:asciiTheme="majorHAnsi" w:eastAsiaTheme="majorEastAsia" w:hAnsiTheme="majorHAnsi" w:cstheme="majorBidi"/>
      <w:color w:val="243F60" w:themeColor="accent1" w:themeShade="7F"/>
      <w:sz w:val="24"/>
      <w:szCs w:val="24"/>
      <w:lang w:val="fr-FR" w:eastAsia="fr-FR"/>
    </w:rPr>
  </w:style>
  <w:style w:type="character" w:customStyle="1" w:styleId="normaltextrun">
    <w:name w:val="normaltextrun"/>
    <w:basedOn w:val="DefaultParagraphFont"/>
    <w:rsid w:val="006703D5"/>
  </w:style>
  <w:style w:type="paragraph" w:styleId="Caption">
    <w:name w:val="caption"/>
    <w:basedOn w:val="Normal"/>
    <w:next w:val="Normal"/>
    <w:uiPriority w:val="35"/>
    <w:qFormat/>
    <w:rsid w:val="006703D5"/>
    <w:pPr>
      <w:spacing w:line="240" w:lineRule="auto"/>
      <w:jc w:val="left"/>
    </w:pPr>
    <w:rPr>
      <w:rFonts w:asciiTheme="minorHAnsi" w:eastAsia="SimSun" w:hAnsiTheme="minorHAnsi" w:cs="Arial"/>
      <w:b/>
      <w:bCs/>
      <w:color w:val="548DD4" w:themeColor="text2" w:themeTint="99"/>
      <w:szCs w:val="18"/>
      <w:lang w:val="en-US" w:eastAsia="en-US"/>
    </w:rPr>
  </w:style>
  <w:style w:type="character" w:styleId="CommentReference">
    <w:name w:val="annotation reference"/>
    <w:basedOn w:val="DefaultParagraphFont"/>
    <w:uiPriority w:val="99"/>
    <w:semiHidden/>
    <w:unhideWhenUsed/>
    <w:rsid w:val="00422714"/>
    <w:rPr>
      <w:sz w:val="16"/>
      <w:szCs w:val="16"/>
    </w:rPr>
  </w:style>
  <w:style w:type="paragraph" w:styleId="CommentText">
    <w:name w:val="annotation text"/>
    <w:basedOn w:val="Normal"/>
    <w:link w:val="CommentTextChar"/>
    <w:uiPriority w:val="99"/>
    <w:semiHidden/>
    <w:unhideWhenUsed/>
    <w:rsid w:val="00422714"/>
    <w:pPr>
      <w:spacing w:line="240" w:lineRule="auto"/>
    </w:pPr>
    <w:rPr>
      <w:sz w:val="20"/>
      <w:szCs w:val="20"/>
    </w:rPr>
  </w:style>
  <w:style w:type="character" w:customStyle="1" w:styleId="CommentTextChar">
    <w:name w:val="Comment Text Char"/>
    <w:basedOn w:val="DefaultParagraphFont"/>
    <w:link w:val="CommentText"/>
    <w:uiPriority w:val="99"/>
    <w:semiHidden/>
    <w:rsid w:val="00422714"/>
    <w:rPr>
      <w:rFonts w:ascii="Calibri" w:eastAsia="Calibri" w:hAnsi="Calibri" w:cs="Calibri"/>
      <w:color w:val="000000"/>
      <w:sz w:val="20"/>
      <w:szCs w:val="20"/>
      <w:lang w:val="fr-FR" w:eastAsia="fr-FR"/>
    </w:rPr>
  </w:style>
  <w:style w:type="paragraph" w:styleId="CommentSubject">
    <w:name w:val="annotation subject"/>
    <w:basedOn w:val="CommentText"/>
    <w:next w:val="CommentText"/>
    <w:link w:val="CommentSubjectChar"/>
    <w:uiPriority w:val="99"/>
    <w:semiHidden/>
    <w:unhideWhenUsed/>
    <w:rsid w:val="00422714"/>
    <w:rPr>
      <w:b/>
      <w:bCs/>
    </w:rPr>
  </w:style>
  <w:style w:type="character" w:customStyle="1" w:styleId="CommentSubjectChar">
    <w:name w:val="Comment Subject Char"/>
    <w:basedOn w:val="CommentTextChar"/>
    <w:link w:val="CommentSubject"/>
    <w:uiPriority w:val="99"/>
    <w:semiHidden/>
    <w:rsid w:val="00422714"/>
    <w:rPr>
      <w:rFonts w:ascii="Calibri" w:eastAsia="Calibri" w:hAnsi="Calibri" w:cs="Calibri"/>
      <w:b/>
      <w:bCs/>
      <w:color w:val="000000"/>
      <w:sz w:val="20"/>
      <w:szCs w:val="20"/>
      <w:lang w:val="fr-FR" w:eastAsia="fr-FR"/>
    </w:rPr>
  </w:style>
  <w:style w:type="paragraph" w:styleId="BalloonText">
    <w:name w:val="Balloon Text"/>
    <w:basedOn w:val="Normal"/>
    <w:link w:val="BalloonTextChar"/>
    <w:uiPriority w:val="99"/>
    <w:semiHidden/>
    <w:unhideWhenUsed/>
    <w:rsid w:val="004227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2714"/>
    <w:rPr>
      <w:rFonts w:ascii="Segoe UI" w:eastAsia="Calibri" w:hAnsi="Segoe UI" w:cs="Segoe UI"/>
      <w:color w:val="000000"/>
      <w:sz w:val="18"/>
      <w:szCs w:val="18"/>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mailto:emg@un.org"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Z30\Dropbox\Peer%20Review%20DATA\HQA%20Electrical%20Consumption.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Z30\Dropbox\Peer%20Review%20DATA\Technical%20Doc%20-%20CK\HQA%20Base%20Case%20Energy%20Balance.xlsm"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2"/>
          <c:order val="0"/>
          <c:tx>
            <c:strRef>
              <c:f>Summary!$G$4</c:f>
              <c:strCache>
                <c:ptCount val="1"/>
                <c:pt idx="0">
                  <c:v>Year 2015</c:v>
                </c:pt>
              </c:strCache>
            </c:strRef>
          </c:tx>
          <c:spPr>
            <a:ln w="28575" cap="rnd">
              <a:solidFill>
                <a:schemeClr val="accent3"/>
              </a:solidFill>
              <a:round/>
            </a:ln>
            <a:effectLst/>
          </c:spPr>
          <c:marker>
            <c:symbol val="none"/>
          </c:marker>
          <c:cat>
            <c:strRef>
              <c:f>Summary!$D$5:$D$16</c:f>
              <c:strCache>
                <c:ptCount val="12"/>
                <c:pt idx="0">
                  <c:v>Jan-Feb</c:v>
                </c:pt>
                <c:pt idx="1">
                  <c:v>Feb-Mar</c:v>
                </c:pt>
                <c:pt idx="2">
                  <c:v>Mar-Apr</c:v>
                </c:pt>
                <c:pt idx="3">
                  <c:v>Apr-May</c:v>
                </c:pt>
                <c:pt idx="4">
                  <c:v>May-Jun</c:v>
                </c:pt>
                <c:pt idx="5">
                  <c:v>Jun-Jul</c:v>
                </c:pt>
                <c:pt idx="6">
                  <c:v>Jul-Aug</c:v>
                </c:pt>
                <c:pt idx="7">
                  <c:v>Aug-Sep</c:v>
                </c:pt>
                <c:pt idx="8">
                  <c:v>Sep-Oct</c:v>
                </c:pt>
                <c:pt idx="9">
                  <c:v>Oct- Nov</c:v>
                </c:pt>
                <c:pt idx="10">
                  <c:v>Nov-Dec</c:v>
                </c:pt>
                <c:pt idx="11">
                  <c:v>Dec-Jan</c:v>
                </c:pt>
              </c:strCache>
            </c:strRef>
          </c:cat>
          <c:val>
            <c:numRef>
              <c:f>Summary!$G$5:$G$16</c:f>
              <c:numCache>
                <c:formatCode>General</c:formatCode>
                <c:ptCount val="12"/>
                <c:pt idx="0">
                  <c:v>83430</c:v>
                </c:pt>
                <c:pt idx="1">
                  <c:v>94580</c:v>
                </c:pt>
                <c:pt idx="2">
                  <c:v>83190</c:v>
                </c:pt>
                <c:pt idx="3">
                  <c:v>71210</c:v>
                </c:pt>
                <c:pt idx="4">
                  <c:v>89120</c:v>
                </c:pt>
                <c:pt idx="5">
                  <c:v>90780</c:v>
                </c:pt>
                <c:pt idx="6">
                  <c:v>94320</c:v>
                </c:pt>
                <c:pt idx="7">
                  <c:v>130730</c:v>
                </c:pt>
                <c:pt idx="8">
                  <c:v>114740</c:v>
                </c:pt>
                <c:pt idx="9">
                  <c:v>92220</c:v>
                </c:pt>
                <c:pt idx="10">
                  <c:v>81840</c:v>
                </c:pt>
                <c:pt idx="11">
                  <c:v>80640</c:v>
                </c:pt>
              </c:numCache>
            </c:numRef>
          </c:val>
          <c:smooth val="0"/>
          <c:extLst>
            <c:ext xmlns:c16="http://schemas.microsoft.com/office/drawing/2014/chart" uri="{C3380CC4-5D6E-409C-BE32-E72D297353CC}">
              <c16:uniqueId val="{00000000-B86D-4DA8-B969-8CB7C5847B50}"/>
            </c:ext>
          </c:extLst>
        </c:ser>
        <c:ser>
          <c:idx val="3"/>
          <c:order val="1"/>
          <c:tx>
            <c:strRef>
              <c:f>Summary!$H$4</c:f>
              <c:strCache>
                <c:ptCount val="1"/>
                <c:pt idx="0">
                  <c:v>Year 2016</c:v>
                </c:pt>
              </c:strCache>
            </c:strRef>
          </c:tx>
          <c:spPr>
            <a:ln w="28575" cap="rnd">
              <a:solidFill>
                <a:schemeClr val="accent4"/>
              </a:solidFill>
              <a:round/>
            </a:ln>
            <a:effectLst/>
          </c:spPr>
          <c:marker>
            <c:symbol val="none"/>
          </c:marker>
          <c:cat>
            <c:strRef>
              <c:f>Summary!$D$5:$D$16</c:f>
              <c:strCache>
                <c:ptCount val="12"/>
                <c:pt idx="0">
                  <c:v>Jan-Feb</c:v>
                </c:pt>
                <c:pt idx="1">
                  <c:v>Feb-Mar</c:v>
                </c:pt>
                <c:pt idx="2">
                  <c:v>Mar-Apr</c:v>
                </c:pt>
                <c:pt idx="3">
                  <c:v>Apr-May</c:v>
                </c:pt>
                <c:pt idx="4">
                  <c:v>May-Jun</c:v>
                </c:pt>
                <c:pt idx="5">
                  <c:v>Jun-Jul</c:v>
                </c:pt>
                <c:pt idx="6">
                  <c:v>Jul-Aug</c:v>
                </c:pt>
                <c:pt idx="7">
                  <c:v>Aug-Sep</c:v>
                </c:pt>
                <c:pt idx="8">
                  <c:v>Sep-Oct</c:v>
                </c:pt>
                <c:pt idx="9">
                  <c:v>Oct- Nov</c:v>
                </c:pt>
                <c:pt idx="10">
                  <c:v>Nov-Dec</c:v>
                </c:pt>
                <c:pt idx="11">
                  <c:v>Dec-Jan</c:v>
                </c:pt>
              </c:strCache>
            </c:strRef>
          </c:cat>
          <c:val>
            <c:numRef>
              <c:f>Summary!$H$5:$H$16</c:f>
              <c:numCache>
                <c:formatCode>General</c:formatCode>
                <c:ptCount val="12"/>
                <c:pt idx="0">
                  <c:v>95920</c:v>
                </c:pt>
                <c:pt idx="1">
                  <c:v>87150</c:v>
                </c:pt>
                <c:pt idx="2">
                  <c:v>76250</c:v>
                </c:pt>
                <c:pt idx="3">
                  <c:v>75760</c:v>
                </c:pt>
                <c:pt idx="4">
                  <c:v>86590</c:v>
                </c:pt>
                <c:pt idx="5">
                  <c:v>91160</c:v>
                </c:pt>
                <c:pt idx="6">
                  <c:v>104029</c:v>
                </c:pt>
                <c:pt idx="7">
                  <c:v>118910</c:v>
                </c:pt>
                <c:pt idx="8">
                  <c:v>95530</c:v>
                </c:pt>
                <c:pt idx="9">
                  <c:v>82710</c:v>
                </c:pt>
              </c:numCache>
            </c:numRef>
          </c:val>
          <c:smooth val="0"/>
          <c:extLst>
            <c:ext xmlns:c16="http://schemas.microsoft.com/office/drawing/2014/chart" uri="{C3380CC4-5D6E-409C-BE32-E72D297353CC}">
              <c16:uniqueId val="{00000001-B86D-4DA8-B969-8CB7C5847B50}"/>
            </c:ext>
          </c:extLst>
        </c:ser>
        <c:dLbls>
          <c:showLegendKey val="0"/>
          <c:showVal val="0"/>
          <c:showCatName val="0"/>
          <c:showSerName val="0"/>
          <c:showPercent val="0"/>
          <c:showBubbleSize val="0"/>
        </c:dLbls>
        <c:smooth val="0"/>
        <c:axId val="132804992"/>
        <c:axId val="132806528"/>
      </c:lineChart>
      <c:catAx>
        <c:axId val="132804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2806528"/>
        <c:crosses val="autoZero"/>
        <c:auto val="1"/>
        <c:lblAlgn val="ctr"/>
        <c:lblOffset val="100"/>
        <c:noMultiLvlLbl val="0"/>
      </c:catAx>
      <c:valAx>
        <c:axId val="13280652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US" b="1"/>
                  <a:t>Electricity</a:t>
                </a:r>
                <a:r>
                  <a:rPr lang="en-US" b="1" baseline="0"/>
                  <a:t> consumption, kWh/month</a:t>
                </a:r>
                <a:endParaRPr lang="en-US" b="1"/>
              </a:p>
            </c:rich>
          </c:tx>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28049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1"/>
        <c:ser>
          <c:idx val="0"/>
          <c:order val="0"/>
          <c:tx>
            <c:strRef>
              <c:f>Summary!$E$18</c:f>
              <c:strCache>
                <c:ptCount val="1"/>
                <c:pt idx="0">
                  <c:v>% JOD</c:v>
                </c:pt>
              </c:strCache>
            </c:strRef>
          </c:tx>
          <c:invertIfNegative val="0"/>
          <c:dPt>
            <c:idx val="0"/>
            <c:invertIfNegative val="0"/>
            <c:bubble3D val="0"/>
            <c:spPr>
              <a:solidFill>
                <a:schemeClr val="accent1"/>
              </a:solidFill>
              <a:ln>
                <a:noFill/>
              </a:ln>
              <a:effectLst/>
            </c:spPr>
            <c:extLst>
              <c:ext xmlns:c16="http://schemas.microsoft.com/office/drawing/2014/chart" uri="{C3380CC4-5D6E-409C-BE32-E72D297353CC}">
                <c16:uniqueId val="{00000001-619A-41D3-B34E-4BA93FDE7E02}"/>
              </c:ext>
            </c:extLst>
          </c:dPt>
          <c:dPt>
            <c:idx val="1"/>
            <c:invertIfNegative val="0"/>
            <c:bubble3D val="0"/>
            <c:spPr>
              <a:solidFill>
                <a:schemeClr val="accent2"/>
              </a:solidFill>
              <a:ln>
                <a:noFill/>
              </a:ln>
              <a:effectLst/>
            </c:spPr>
            <c:extLst>
              <c:ext xmlns:c16="http://schemas.microsoft.com/office/drawing/2014/chart" uri="{C3380CC4-5D6E-409C-BE32-E72D297353CC}">
                <c16:uniqueId val="{00000003-619A-41D3-B34E-4BA93FDE7E02}"/>
              </c:ext>
            </c:extLst>
          </c:dPt>
          <c:dPt>
            <c:idx val="2"/>
            <c:invertIfNegative val="0"/>
            <c:bubble3D val="0"/>
            <c:spPr>
              <a:solidFill>
                <a:schemeClr val="accent3"/>
              </a:solidFill>
              <a:ln>
                <a:noFill/>
              </a:ln>
              <a:effectLst/>
            </c:spPr>
            <c:extLst>
              <c:ext xmlns:c16="http://schemas.microsoft.com/office/drawing/2014/chart" uri="{C3380CC4-5D6E-409C-BE32-E72D297353CC}">
                <c16:uniqueId val="{00000005-619A-41D3-B34E-4BA93FDE7E02}"/>
              </c:ext>
            </c:extLst>
          </c:dPt>
          <c:dPt>
            <c:idx val="3"/>
            <c:invertIfNegative val="0"/>
            <c:bubble3D val="0"/>
            <c:spPr>
              <a:solidFill>
                <a:schemeClr val="accent4"/>
              </a:solidFill>
              <a:ln>
                <a:noFill/>
              </a:ln>
              <a:effectLst/>
            </c:spPr>
            <c:extLst>
              <c:ext xmlns:c16="http://schemas.microsoft.com/office/drawing/2014/chart" uri="{C3380CC4-5D6E-409C-BE32-E72D297353CC}">
                <c16:uniqueId val="{00000007-619A-41D3-B34E-4BA93FDE7E02}"/>
              </c:ext>
            </c:extLst>
          </c:dPt>
          <c:dPt>
            <c:idx val="4"/>
            <c:invertIfNegative val="0"/>
            <c:bubble3D val="0"/>
            <c:spPr>
              <a:solidFill>
                <a:schemeClr val="accent5"/>
              </a:solidFill>
              <a:ln>
                <a:noFill/>
              </a:ln>
              <a:effectLst/>
            </c:spPr>
            <c:extLst>
              <c:ext xmlns:c16="http://schemas.microsoft.com/office/drawing/2014/chart" uri="{C3380CC4-5D6E-409C-BE32-E72D297353CC}">
                <c16:uniqueId val="{00000009-619A-41D3-B34E-4BA93FDE7E02}"/>
              </c:ext>
            </c:extLst>
          </c:dPt>
          <c:dPt>
            <c:idx val="5"/>
            <c:invertIfNegative val="0"/>
            <c:bubble3D val="0"/>
            <c:spPr>
              <a:solidFill>
                <a:schemeClr val="accent6"/>
              </a:solidFill>
              <a:ln>
                <a:noFill/>
              </a:ln>
              <a:effectLst/>
            </c:spPr>
            <c:extLst>
              <c:ext xmlns:c16="http://schemas.microsoft.com/office/drawing/2014/chart" uri="{C3380CC4-5D6E-409C-BE32-E72D297353CC}">
                <c16:uniqueId val="{0000000B-619A-41D3-B34E-4BA93FDE7E02}"/>
              </c:ext>
            </c:extLst>
          </c:dPt>
          <c:dPt>
            <c:idx val="6"/>
            <c:invertIfNegative val="0"/>
            <c:bubble3D val="0"/>
            <c:spPr>
              <a:solidFill>
                <a:schemeClr val="accent1">
                  <a:lumMod val="60000"/>
                </a:schemeClr>
              </a:solidFill>
              <a:ln>
                <a:noFill/>
              </a:ln>
              <a:effectLst/>
            </c:spPr>
            <c:extLst>
              <c:ext xmlns:c16="http://schemas.microsoft.com/office/drawing/2014/chart" uri="{C3380CC4-5D6E-409C-BE32-E72D297353CC}">
                <c16:uniqueId val="{0000000D-619A-41D3-B34E-4BA93FDE7E02}"/>
              </c:ext>
            </c:extLst>
          </c:dPt>
          <c:dPt>
            <c:idx val="7"/>
            <c:invertIfNegative val="0"/>
            <c:bubble3D val="0"/>
            <c:spPr>
              <a:solidFill>
                <a:schemeClr val="accent2">
                  <a:lumMod val="60000"/>
                </a:schemeClr>
              </a:solidFill>
              <a:ln>
                <a:noFill/>
              </a:ln>
              <a:effectLst/>
            </c:spPr>
            <c:extLst>
              <c:ext xmlns:c16="http://schemas.microsoft.com/office/drawing/2014/chart" uri="{C3380CC4-5D6E-409C-BE32-E72D297353CC}">
                <c16:uniqueId val="{0000000F-619A-41D3-B34E-4BA93FDE7E02}"/>
              </c:ext>
            </c:extLst>
          </c:dPt>
          <c:dPt>
            <c:idx val="8"/>
            <c:invertIfNegative val="0"/>
            <c:bubble3D val="0"/>
            <c:spPr>
              <a:solidFill>
                <a:schemeClr val="accent3">
                  <a:lumMod val="60000"/>
                </a:schemeClr>
              </a:solidFill>
              <a:ln>
                <a:noFill/>
              </a:ln>
              <a:effectLst/>
            </c:spPr>
            <c:extLst>
              <c:ext xmlns:c16="http://schemas.microsoft.com/office/drawing/2014/chart" uri="{C3380CC4-5D6E-409C-BE32-E72D297353CC}">
                <c16:uniqueId val="{00000011-619A-41D3-B34E-4BA93FDE7E02}"/>
              </c:ext>
            </c:extLst>
          </c:dPt>
          <c:dPt>
            <c:idx val="9"/>
            <c:invertIfNegative val="0"/>
            <c:bubble3D val="0"/>
            <c:spPr>
              <a:solidFill>
                <a:schemeClr val="accent4">
                  <a:lumMod val="60000"/>
                </a:schemeClr>
              </a:solidFill>
              <a:ln>
                <a:noFill/>
              </a:ln>
              <a:effectLst/>
            </c:spPr>
            <c:extLst>
              <c:ext xmlns:c16="http://schemas.microsoft.com/office/drawing/2014/chart" uri="{C3380CC4-5D6E-409C-BE32-E72D297353CC}">
                <c16:uniqueId val="{00000013-619A-41D3-B34E-4BA93FDE7E02}"/>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Summary!$C$19:$C$28</c:f>
              <c:strCache>
                <c:ptCount val="10"/>
                <c:pt idx="0">
                  <c:v>Office Lighting</c:v>
                </c:pt>
                <c:pt idx="1">
                  <c:v>Office Plug Load</c:v>
                </c:pt>
                <c:pt idx="2">
                  <c:v>Data Center</c:v>
                </c:pt>
                <c:pt idx="3">
                  <c:v>Corridor Lighting</c:v>
                </c:pt>
                <c:pt idx="4">
                  <c:v>Corridor Plug Load</c:v>
                </c:pt>
                <c:pt idx="5">
                  <c:v>Outdoor lights</c:v>
                </c:pt>
                <c:pt idx="6">
                  <c:v>Office AC</c:v>
                </c:pt>
                <c:pt idx="7">
                  <c:v>Heating by AC</c:v>
                </c:pt>
                <c:pt idx="8">
                  <c:v>Heating by Boiler</c:v>
                </c:pt>
                <c:pt idx="9">
                  <c:v>Pump for Heating</c:v>
                </c:pt>
              </c:strCache>
            </c:strRef>
          </c:cat>
          <c:val>
            <c:numRef>
              <c:f>Summary!$E$19:$E$28</c:f>
              <c:numCache>
                <c:formatCode>0%</c:formatCode>
                <c:ptCount val="10"/>
                <c:pt idx="0">
                  <c:v>0.16501293357581701</c:v>
                </c:pt>
                <c:pt idx="1">
                  <c:v>0.110307479913995</c:v>
                </c:pt>
                <c:pt idx="2">
                  <c:v>0.131606513176386</c:v>
                </c:pt>
                <c:pt idx="3">
                  <c:v>9.6303591698848806E-2</c:v>
                </c:pt>
                <c:pt idx="4">
                  <c:v>5.2206320665230101E-2</c:v>
                </c:pt>
                <c:pt idx="5">
                  <c:v>2.0054325817354099E-2</c:v>
                </c:pt>
                <c:pt idx="6">
                  <c:v>0.235260646877995</c:v>
                </c:pt>
                <c:pt idx="7">
                  <c:v>7.9528696759465098E-2</c:v>
                </c:pt>
                <c:pt idx="8">
                  <c:v>0.104412728157076</c:v>
                </c:pt>
                <c:pt idx="9">
                  <c:v>5.3067633578324199E-3</c:v>
                </c:pt>
              </c:numCache>
            </c:numRef>
          </c:val>
          <c:extLst>
            <c:ext xmlns:c16="http://schemas.microsoft.com/office/drawing/2014/chart" uri="{C3380CC4-5D6E-409C-BE32-E72D297353CC}">
              <c16:uniqueId val="{00000014-619A-41D3-B34E-4BA93FDE7E02}"/>
            </c:ext>
          </c:extLst>
        </c:ser>
        <c:dLbls>
          <c:showLegendKey val="0"/>
          <c:showVal val="0"/>
          <c:showCatName val="0"/>
          <c:showSerName val="0"/>
          <c:showPercent val="0"/>
          <c:showBubbleSize val="0"/>
        </c:dLbls>
        <c:gapWidth val="219"/>
        <c:overlap val="-27"/>
        <c:axId val="146942592"/>
        <c:axId val="146960768"/>
      </c:barChart>
      <c:catAx>
        <c:axId val="1469425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6960768"/>
        <c:crosses val="autoZero"/>
        <c:auto val="1"/>
        <c:lblAlgn val="ctr"/>
        <c:lblOffset val="100"/>
        <c:noMultiLvlLbl val="0"/>
      </c:catAx>
      <c:valAx>
        <c:axId val="14696076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US" b="1"/>
                  <a:t>Share</a:t>
                </a:r>
                <a:r>
                  <a:rPr lang="en-US" b="1" baseline="0"/>
                  <a:t> of energy cost, %</a:t>
                </a:r>
                <a:endParaRPr lang="en-US" b="1"/>
              </a:p>
            </c:rich>
          </c:tx>
          <c:overlay val="0"/>
          <c:spPr>
            <a:noFill/>
            <a:ln>
              <a:noFill/>
            </a:ln>
            <a:effectLst/>
          </c:sp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69425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8</Pages>
  <Words>2733</Words>
  <Characters>15584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Garam Bel</dc:creator>
  <cp:keywords/>
  <dc:description/>
  <cp:lastModifiedBy>Garam Bel</cp:lastModifiedBy>
  <cp:revision>13</cp:revision>
  <dcterms:created xsi:type="dcterms:W3CDTF">2018-05-30T12:31:00Z</dcterms:created>
  <dcterms:modified xsi:type="dcterms:W3CDTF">2018-05-30T13:29:00Z</dcterms:modified>
</cp:coreProperties>
</file>